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95CAA" w:rsidRPr="008C2BB0" w:rsidRDefault="00966ADB" w:rsidP="0047432F">
      <w:pPr>
        <w:spacing w:after="600"/>
        <w:jc w:val="right"/>
        <w:rPr>
          <w:rFonts w:ascii="Arial" w:hAnsi="Arial" w:cs="Arial"/>
          <w:sz w:val="22"/>
          <w:szCs w:val="22"/>
        </w:rPr>
      </w:pPr>
      <w:bookmarkStart w:id="0" w:name="_GoBack"/>
      <w:bookmarkEnd w:id="0"/>
      <w:r w:rsidRPr="008C2BB0">
        <w:rPr>
          <w:rFonts w:ascii="Arial" w:hAnsi="Arial" w:cs="Arial"/>
          <w:bCs/>
          <w:sz w:val="22"/>
          <w:szCs w:val="22"/>
        </w:rPr>
        <w:t>III.</w:t>
      </w:r>
    </w:p>
    <w:p w:rsidR="00966ADB" w:rsidRPr="008C2BB0" w:rsidRDefault="00966ADB" w:rsidP="00966ADB">
      <w:pPr>
        <w:spacing w:after="240"/>
        <w:jc w:val="both"/>
        <w:rPr>
          <w:rFonts w:ascii="Arial" w:hAnsi="Arial" w:cs="Arial"/>
          <w:b/>
          <w:bCs/>
          <w:sz w:val="22"/>
          <w:szCs w:val="22"/>
        </w:rPr>
      </w:pPr>
      <w:r w:rsidRPr="008C2BB0">
        <w:rPr>
          <w:rFonts w:ascii="Arial" w:hAnsi="Arial" w:cs="Arial"/>
          <w:b/>
          <w:bCs/>
          <w:sz w:val="22"/>
          <w:szCs w:val="22"/>
        </w:rPr>
        <w:t>Stanovisko Ministerstva financí ČR a Generálního finančního ředitelství ke Kontrolnímu závěru Nejvyššího kontrolního úřadu z kontrolní akce č. 14/17</w:t>
      </w:r>
      <w:r w:rsidR="007A56F2" w:rsidRPr="008C2BB0">
        <w:rPr>
          <w:rFonts w:ascii="Arial" w:hAnsi="Arial" w:cs="Arial"/>
          <w:b/>
          <w:bCs/>
          <w:sz w:val="22"/>
          <w:szCs w:val="22"/>
        </w:rPr>
        <w:t xml:space="preserve"> </w:t>
      </w:r>
      <w:r w:rsidRPr="008C2BB0">
        <w:rPr>
          <w:rFonts w:ascii="Arial" w:hAnsi="Arial" w:cs="Arial"/>
          <w:b/>
          <w:bCs/>
          <w:sz w:val="22"/>
          <w:szCs w:val="22"/>
        </w:rPr>
        <w:t>„Správa daně z přidané hodnoty a dopady legislativních změn na příjmy státního rozpočtu“ (dále jen „Stanovisko“)</w:t>
      </w:r>
    </w:p>
    <w:p w:rsidR="00966ADB" w:rsidRPr="008C2BB0" w:rsidRDefault="00966ADB" w:rsidP="00966ADB">
      <w:pPr>
        <w:numPr>
          <w:ilvl w:val="0"/>
          <w:numId w:val="1"/>
        </w:numPr>
        <w:spacing w:after="240"/>
        <w:jc w:val="both"/>
        <w:rPr>
          <w:rFonts w:ascii="Arial" w:hAnsi="Arial" w:cs="Arial"/>
          <w:b/>
          <w:bCs/>
          <w:sz w:val="22"/>
          <w:szCs w:val="22"/>
          <w:u w:val="single"/>
        </w:rPr>
      </w:pPr>
      <w:r w:rsidRPr="008C2BB0">
        <w:rPr>
          <w:rFonts w:ascii="Arial" w:hAnsi="Arial" w:cs="Arial"/>
          <w:b/>
          <w:bCs/>
          <w:sz w:val="22"/>
          <w:szCs w:val="22"/>
          <w:u w:val="single"/>
        </w:rPr>
        <w:t>Úvod</w:t>
      </w:r>
    </w:p>
    <w:p w:rsidR="00966ADB" w:rsidRPr="008C2BB0" w:rsidRDefault="00966ADB" w:rsidP="00966ADB">
      <w:pPr>
        <w:spacing w:after="240"/>
        <w:jc w:val="both"/>
        <w:rPr>
          <w:rFonts w:ascii="Arial" w:hAnsi="Arial" w:cs="Arial"/>
          <w:bCs/>
          <w:sz w:val="22"/>
          <w:szCs w:val="22"/>
        </w:rPr>
      </w:pPr>
      <w:r w:rsidRPr="008C2BB0">
        <w:rPr>
          <w:rFonts w:ascii="Arial" w:hAnsi="Arial" w:cs="Arial"/>
          <w:bCs/>
          <w:sz w:val="22"/>
          <w:szCs w:val="22"/>
        </w:rPr>
        <w:t xml:space="preserve">Nejvyšší kontrolní úřad (dále jen „NKÚ“) provedl u kontrolované osoby Generálního finančního ředitelství (dále jen „GFŘ“) kontrolní akci č. 14/17 „Správa daně z přidané hodnoty a dopady legislativních změn na příjmy státního rozpočtu“ (dále </w:t>
      </w:r>
      <w:r w:rsidR="006F395E">
        <w:rPr>
          <w:rFonts w:ascii="Arial" w:hAnsi="Arial" w:cs="Arial"/>
          <w:bCs/>
          <w:sz w:val="22"/>
          <w:szCs w:val="22"/>
        </w:rPr>
        <w:t>jen</w:t>
      </w:r>
      <w:r w:rsidRPr="008C2BB0">
        <w:rPr>
          <w:rFonts w:ascii="Arial" w:hAnsi="Arial" w:cs="Arial"/>
          <w:bCs/>
          <w:sz w:val="22"/>
          <w:szCs w:val="22"/>
        </w:rPr>
        <w:t xml:space="preserve"> „kontrolní akce NKÚ č. 14/17“).</w:t>
      </w:r>
    </w:p>
    <w:p w:rsidR="00966ADB" w:rsidRPr="008C2BB0" w:rsidRDefault="00966ADB" w:rsidP="00966ADB">
      <w:pPr>
        <w:spacing w:after="240"/>
        <w:jc w:val="both"/>
        <w:rPr>
          <w:rFonts w:ascii="Arial" w:hAnsi="Arial" w:cs="Arial"/>
          <w:bCs/>
          <w:sz w:val="22"/>
          <w:szCs w:val="22"/>
        </w:rPr>
      </w:pPr>
      <w:r w:rsidRPr="008C2BB0">
        <w:rPr>
          <w:rFonts w:ascii="Arial" w:hAnsi="Arial" w:cs="Arial"/>
          <w:bCs/>
          <w:sz w:val="22"/>
          <w:szCs w:val="22"/>
          <w:u w:val="single"/>
        </w:rPr>
        <w:t>Kontrolní akce NKÚ č. 14/17  formulovala tyto závěry</w:t>
      </w:r>
      <w:r w:rsidRPr="008C2BB0">
        <w:rPr>
          <w:rFonts w:ascii="Arial" w:hAnsi="Arial" w:cs="Arial"/>
          <w:bCs/>
          <w:sz w:val="22"/>
          <w:szCs w:val="22"/>
        </w:rPr>
        <w:t>:</w:t>
      </w:r>
    </w:p>
    <w:p w:rsidR="00966ADB" w:rsidRPr="008C2BB0" w:rsidRDefault="00966ADB" w:rsidP="00966ADB">
      <w:pPr>
        <w:numPr>
          <w:ilvl w:val="0"/>
          <w:numId w:val="19"/>
        </w:numPr>
        <w:spacing w:after="240"/>
        <w:jc w:val="both"/>
        <w:rPr>
          <w:rFonts w:ascii="Arial" w:hAnsi="Arial" w:cs="Arial"/>
          <w:bCs/>
          <w:sz w:val="22"/>
          <w:szCs w:val="22"/>
        </w:rPr>
      </w:pPr>
      <w:r w:rsidRPr="008C2BB0">
        <w:rPr>
          <w:rFonts w:ascii="Arial" w:hAnsi="Arial" w:cs="Arial"/>
          <w:bCs/>
          <w:sz w:val="22"/>
          <w:szCs w:val="22"/>
        </w:rPr>
        <w:t>Finanční úřady měly ve lhůtě od 1. 1. 2013 do 1. 4. 2013 ověřit a následně zveřejnit v registru plátců daně z přidané hodnoty (dále též „DPH“)</w:t>
      </w:r>
      <w:r w:rsidRPr="008C2BB0">
        <w:rPr>
          <w:rFonts w:ascii="Arial" w:hAnsi="Arial" w:cs="Arial"/>
          <w:b/>
          <w:bCs/>
          <w:sz w:val="22"/>
          <w:szCs w:val="22"/>
        </w:rPr>
        <w:t xml:space="preserve"> cca 518 tis. bankovních účtů. </w:t>
      </w:r>
      <w:r w:rsidRPr="008C2BB0">
        <w:rPr>
          <w:rFonts w:ascii="Arial" w:hAnsi="Arial" w:cs="Arial"/>
          <w:bCs/>
          <w:sz w:val="22"/>
          <w:szCs w:val="22"/>
        </w:rPr>
        <w:t xml:space="preserve">GFŘ uvedlo, že deset z patnácti finančních úřadů bylo v této lhůtě schopno ověřit pouze 73 – 99,5 % bankovních účtů. </w:t>
      </w:r>
      <w:r w:rsidRPr="008C2BB0">
        <w:rPr>
          <w:rFonts w:ascii="Arial" w:hAnsi="Arial" w:cs="Arial"/>
          <w:bCs/>
          <w:sz w:val="22"/>
          <w:szCs w:val="22"/>
          <w:u w:val="single"/>
        </w:rPr>
        <w:t>Zákonem stanovený termín pro ověření a zveřejnění účtů finanční správa nesplnila</w:t>
      </w:r>
      <w:r w:rsidRPr="008C2BB0">
        <w:rPr>
          <w:rFonts w:ascii="Arial" w:hAnsi="Arial" w:cs="Arial"/>
          <w:bCs/>
          <w:sz w:val="22"/>
          <w:szCs w:val="22"/>
        </w:rPr>
        <w:t>.</w:t>
      </w:r>
    </w:p>
    <w:p w:rsidR="00966ADB" w:rsidRPr="008C2BB0" w:rsidRDefault="00966ADB" w:rsidP="00966ADB">
      <w:pPr>
        <w:numPr>
          <w:ilvl w:val="0"/>
          <w:numId w:val="19"/>
        </w:numPr>
        <w:spacing w:after="240"/>
        <w:jc w:val="both"/>
        <w:rPr>
          <w:rFonts w:ascii="Arial" w:hAnsi="Arial" w:cs="Arial"/>
          <w:bCs/>
          <w:sz w:val="22"/>
          <w:szCs w:val="22"/>
        </w:rPr>
      </w:pPr>
      <w:r w:rsidRPr="008C2BB0">
        <w:rPr>
          <w:rFonts w:ascii="Arial" w:hAnsi="Arial" w:cs="Arial"/>
          <w:b/>
          <w:bCs/>
          <w:sz w:val="22"/>
          <w:szCs w:val="22"/>
        </w:rPr>
        <w:t xml:space="preserve">Zavedení režimu přenesení daňové povinnosti </w:t>
      </w:r>
      <w:r w:rsidRPr="008C2BB0">
        <w:rPr>
          <w:rFonts w:ascii="Arial" w:hAnsi="Arial" w:cs="Arial"/>
          <w:bCs/>
          <w:sz w:val="22"/>
          <w:szCs w:val="22"/>
        </w:rPr>
        <w:t xml:space="preserve">odstranilo u plnění, která příjemci vykázali za období 1. 4. 2011 až 30. 6. 2014 v hodnotě 1 503 mld. Kč, riziko negativních dopadů do příjmů státního rozpočtu, které by mohly nastat v případech, pokud by poskytovatel daň nepřiznal nebo neuhradil a příjemce uplatnil nárok na odpočet daně. Finanční dopad na příjmy státního rozpočtu nelze vyčíslit, protože nelze předjímat výši daně neuhrazené poskytovateli. Jak zjistil NKÚ, při obchodování s vybranými komoditami může stále docházet k daňovým únikům, neboť ve stejném období poskytovatelé vykázali plnění o 14 mld. Kč vyšší než příjemci a i finanční správa, která kontrolovala rok 2012, doměřila daň min. ve výši 69,5 mil. Kč. </w:t>
      </w:r>
      <w:r w:rsidRPr="008C2BB0">
        <w:rPr>
          <w:rFonts w:ascii="Arial" w:hAnsi="Arial" w:cs="Arial"/>
          <w:bCs/>
          <w:sz w:val="22"/>
          <w:szCs w:val="22"/>
          <w:u w:val="single"/>
        </w:rPr>
        <w:t>Funkční automatizovaný kontrolní systém ADIS zavedlo GFŘ až koncem roku 2013 a do ukončení kontroly NKÚ v lednu roku 2015 jej většina kontrolovaných finančních úřadů ke kontrole režimu přenesení daňové povinnosti nevyužívala</w:t>
      </w:r>
      <w:r w:rsidRPr="008C2BB0">
        <w:rPr>
          <w:rFonts w:ascii="Arial" w:hAnsi="Arial" w:cs="Arial"/>
          <w:bCs/>
          <w:sz w:val="22"/>
          <w:szCs w:val="22"/>
        </w:rPr>
        <w:t>.</w:t>
      </w:r>
    </w:p>
    <w:p w:rsidR="00966ADB" w:rsidRPr="008C2BB0" w:rsidRDefault="00966ADB" w:rsidP="00966ADB">
      <w:pPr>
        <w:numPr>
          <w:ilvl w:val="0"/>
          <w:numId w:val="19"/>
        </w:numPr>
        <w:spacing w:after="240"/>
        <w:jc w:val="both"/>
        <w:rPr>
          <w:rFonts w:ascii="Arial" w:hAnsi="Arial" w:cs="Arial"/>
          <w:bCs/>
          <w:sz w:val="22"/>
          <w:szCs w:val="22"/>
        </w:rPr>
      </w:pPr>
      <w:r w:rsidRPr="008C2BB0">
        <w:rPr>
          <w:rFonts w:ascii="Arial" w:hAnsi="Arial" w:cs="Arial"/>
          <w:b/>
          <w:bCs/>
          <w:sz w:val="22"/>
          <w:szCs w:val="22"/>
        </w:rPr>
        <w:t>Zavedení institutu nespolehlivého plátce</w:t>
      </w:r>
      <w:r w:rsidRPr="008C2BB0">
        <w:rPr>
          <w:rFonts w:ascii="Arial" w:hAnsi="Arial" w:cs="Arial"/>
          <w:bCs/>
          <w:sz w:val="22"/>
          <w:szCs w:val="22"/>
        </w:rPr>
        <w:t xml:space="preserve"> sice přineslo po 1. lednu 2013 významnou možnost identifikace subjektů, kteří sice závažným způsobem porušují své povinnosti ve vztahu k DPH, ale u kterých nelze ze zákonných důvodů zrušit registraci k DPH, přesto do 2. 1. 2015 zveřejnila finanční správa v registru plátců DPH </w:t>
      </w:r>
      <w:r w:rsidRPr="008C2BB0">
        <w:rPr>
          <w:rFonts w:ascii="Arial" w:hAnsi="Arial" w:cs="Arial"/>
          <w:bCs/>
          <w:sz w:val="22"/>
          <w:szCs w:val="22"/>
          <w:u w:val="single"/>
        </w:rPr>
        <w:t>pouze 156 nespolehlivých plátců</w:t>
      </w:r>
      <w:r w:rsidRPr="008C2BB0">
        <w:rPr>
          <w:rFonts w:ascii="Arial" w:hAnsi="Arial" w:cs="Arial"/>
          <w:bCs/>
          <w:sz w:val="22"/>
          <w:szCs w:val="22"/>
        </w:rPr>
        <w:t>. Na základě toho NKÚ konstatoval, že do konce r. 2014 nebyly dosaženy cíle ze zavedení institutu nespolehlivého plátce. Podle původních kritérií, která nastavilo GFŘ pro posuzování nespolehlivosti plátce, nebylo možné postihnout rizikové jednání plátce před vznikem nedoplatku na dani. Podle zpřísněných kritérií bude možné postihnout i porušení povinností nepeněžité povahy.</w:t>
      </w:r>
    </w:p>
    <w:p w:rsidR="00966ADB" w:rsidRPr="008C2BB0" w:rsidRDefault="00966ADB" w:rsidP="00966ADB">
      <w:pPr>
        <w:numPr>
          <w:ilvl w:val="0"/>
          <w:numId w:val="19"/>
        </w:numPr>
        <w:spacing w:after="240"/>
        <w:jc w:val="both"/>
        <w:rPr>
          <w:rFonts w:ascii="Arial" w:hAnsi="Arial" w:cs="Arial"/>
          <w:bCs/>
          <w:sz w:val="22"/>
          <w:szCs w:val="22"/>
        </w:rPr>
      </w:pPr>
      <w:r w:rsidRPr="008C2BB0">
        <w:rPr>
          <w:rFonts w:ascii="Arial" w:hAnsi="Arial" w:cs="Arial"/>
          <w:b/>
          <w:bCs/>
          <w:sz w:val="22"/>
          <w:szCs w:val="22"/>
        </w:rPr>
        <w:t xml:space="preserve">Institut ručení příjemce zdanitelného plnění </w:t>
      </w:r>
      <w:r w:rsidRPr="008C2BB0">
        <w:rPr>
          <w:rFonts w:ascii="Arial" w:hAnsi="Arial" w:cs="Arial"/>
          <w:bCs/>
          <w:sz w:val="22"/>
          <w:szCs w:val="22"/>
        </w:rPr>
        <w:t xml:space="preserve">využila finanční správa pouze v 16 případech, ve kterých byla uhrazena daň ve výši 15,3 mil. Kč. Důvodem proto byla zejména náročnost prokazování znalostního testu. Na pozadí nenaplnění cíle zajistit institutem ručení zdanitelného plnění v období 2011 až 2013 DPH částku ve výši 1,5 mld. Kč dospěl NKÚ k závěru, že </w:t>
      </w:r>
      <w:r w:rsidRPr="008C2BB0">
        <w:rPr>
          <w:rFonts w:ascii="Arial" w:hAnsi="Arial" w:cs="Arial"/>
          <w:bCs/>
          <w:sz w:val="22"/>
          <w:szCs w:val="22"/>
          <w:u w:val="single"/>
        </w:rPr>
        <w:t>cíl jeho využití nebyl naplněn a pro širší využití tohoto institutu v ostatních případech nevytvořilo GFŘ předpoklady</w:t>
      </w:r>
      <w:r w:rsidRPr="008C2BB0">
        <w:rPr>
          <w:rFonts w:ascii="Arial" w:hAnsi="Arial" w:cs="Arial"/>
          <w:bCs/>
          <w:sz w:val="22"/>
          <w:szCs w:val="22"/>
        </w:rPr>
        <w:t>, protože např. jeho použití při platbě na jiný než zveřejněný bankovní účet dvakrát odložilo až do konce roku 2013.</w:t>
      </w:r>
    </w:p>
    <w:p w:rsidR="00966ADB" w:rsidRPr="008C2BB0" w:rsidRDefault="00966ADB" w:rsidP="00966ADB">
      <w:pPr>
        <w:spacing w:after="240"/>
        <w:jc w:val="both"/>
        <w:rPr>
          <w:rFonts w:ascii="Arial" w:hAnsi="Arial" w:cs="Arial"/>
          <w:bCs/>
          <w:sz w:val="22"/>
          <w:szCs w:val="22"/>
        </w:rPr>
      </w:pPr>
    </w:p>
    <w:p w:rsidR="00966ADB" w:rsidRPr="008C2BB0" w:rsidRDefault="00966ADB" w:rsidP="00966ADB">
      <w:pPr>
        <w:numPr>
          <w:ilvl w:val="0"/>
          <w:numId w:val="19"/>
        </w:numPr>
        <w:spacing w:after="240"/>
        <w:jc w:val="both"/>
        <w:rPr>
          <w:rFonts w:ascii="Arial" w:hAnsi="Arial" w:cs="Arial"/>
          <w:bCs/>
          <w:sz w:val="22"/>
          <w:szCs w:val="22"/>
        </w:rPr>
      </w:pPr>
      <w:r w:rsidRPr="008C2BB0">
        <w:rPr>
          <w:rFonts w:ascii="Arial" w:hAnsi="Arial" w:cs="Arial"/>
          <w:bCs/>
          <w:sz w:val="22"/>
          <w:szCs w:val="22"/>
        </w:rPr>
        <w:t xml:space="preserve">Na druhé straně využili </w:t>
      </w:r>
      <w:r w:rsidRPr="008C2BB0">
        <w:rPr>
          <w:rFonts w:ascii="Arial" w:hAnsi="Arial" w:cs="Arial"/>
          <w:b/>
          <w:bCs/>
          <w:sz w:val="22"/>
          <w:szCs w:val="22"/>
        </w:rPr>
        <w:t xml:space="preserve">zvláštního způsobu zajištění daně </w:t>
      </w:r>
      <w:r w:rsidRPr="008C2BB0">
        <w:rPr>
          <w:rFonts w:ascii="Arial" w:hAnsi="Arial" w:cs="Arial"/>
          <w:bCs/>
          <w:sz w:val="22"/>
          <w:szCs w:val="22"/>
        </w:rPr>
        <w:t>příjemci v 2 153 případech a hodnota takto uhrazené daně činila 303,7 mil. Kč, což potvrzuje preventivní účinek zavedení ručení příjemce zdanitelného plnění za nezaplacenou daň. Daňové subjekty tím, že využily zvláštního způsobu zajištění daně, vyloučily případné dopady ručitelského závazku a riziko vzniku daňového úniku.</w:t>
      </w:r>
    </w:p>
    <w:p w:rsidR="00966ADB" w:rsidRPr="008C2BB0" w:rsidRDefault="00966ADB" w:rsidP="00966ADB">
      <w:pPr>
        <w:numPr>
          <w:ilvl w:val="0"/>
          <w:numId w:val="19"/>
        </w:numPr>
        <w:spacing w:after="240"/>
        <w:jc w:val="both"/>
        <w:rPr>
          <w:rFonts w:ascii="Arial" w:hAnsi="Arial" w:cs="Arial"/>
          <w:bCs/>
          <w:sz w:val="22"/>
          <w:szCs w:val="22"/>
        </w:rPr>
      </w:pPr>
      <w:r w:rsidRPr="008C2BB0">
        <w:rPr>
          <w:rFonts w:ascii="Arial" w:hAnsi="Arial" w:cs="Arial"/>
          <w:bCs/>
          <w:sz w:val="22"/>
          <w:szCs w:val="22"/>
        </w:rPr>
        <w:t>NKÚ ocenil, že režim</w:t>
      </w:r>
      <w:r w:rsidRPr="008C2BB0">
        <w:rPr>
          <w:rFonts w:ascii="Arial" w:hAnsi="Arial" w:cs="Arial"/>
          <w:b/>
          <w:bCs/>
          <w:sz w:val="22"/>
          <w:szCs w:val="22"/>
        </w:rPr>
        <w:t xml:space="preserve"> </w:t>
      </w:r>
      <w:r w:rsidRPr="008C2BB0">
        <w:rPr>
          <w:rFonts w:ascii="Arial" w:hAnsi="Arial" w:cs="Arial"/>
          <w:bCs/>
          <w:sz w:val="22"/>
          <w:szCs w:val="22"/>
        </w:rPr>
        <w:t>zvláštního ustanovení</w:t>
      </w:r>
      <w:r w:rsidRPr="008C2BB0">
        <w:rPr>
          <w:rFonts w:ascii="Arial" w:hAnsi="Arial" w:cs="Arial"/>
          <w:b/>
          <w:bCs/>
          <w:sz w:val="22"/>
          <w:szCs w:val="22"/>
        </w:rPr>
        <w:t xml:space="preserve"> </w:t>
      </w:r>
      <w:r w:rsidRPr="008C2BB0">
        <w:rPr>
          <w:rFonts w:ascii="Arial" w:hAnsi="Arial" w:cs="Arial"/>
          <w:bCs/>
          <w:sz w:val="22"/>
          <w:szCs w:val="22"/>
        </w:rPr>
        <w:t>o</w:t>
      </w:r>
      <w:r w:rsidRPr="008C2BB0">
        <w:rPr>
          <w:rFonts w:ascii="Arial" w:hAnsi="Arial" w:cs="Arial"/>
          <w:b/>
          <w:bCs/>
          <w:sz w:val="22"/>
          <w:szCs w:val="22"/>
        </w:rPr>
        <w:t xml:space="preserve"> zajištění úhrady na nesplatnou nebo dosud nestanovenou daň </w:t>
      </w:r>
      <w:r w:rsidRPr="008C2BB0">
        <w:rPr>
          <w:rFonts w:ascii="Arial" w:hAnsi="Arial" w:cs="Arial"/>
          <w:bCs/>
          <w:sz w:val="22"/>
          <w:szCs w:val="22"/>
        </w:rPr>
        <w:t xml:space="preserve">formou </w:t>
      </w:r>
      <w:r w:rsidRPr="008C2BB0">
        <w:rPr>
          <w:rFonts w:ascii="Arial" w:hAnsi="Arial" w:cs="Arial"/>
          <w:b/>
          <w:bCs/>
          <w:sz w:val="22"/>
          <w:szCs w:val="22"/>
        </w:rPr>
        <w:t>zajišťovacího příkazu</w:t>
      </w:r>
      <w:r w:rsidRPr="008C2BB0">
        <w:rPr>
          <w:rFonts w:ascii="Arial" w:hAnsi="Arial" w:cs="Arial"/>
          <w:bCs/>
          <w:sz w:val="22"/>
          <w:szCs w:val="22"/>
        </w:rPr>
        <w:t xml:space="preserve"> byl § 167 zákona č. 280/2009 Sb., daňového řádu (dále též „daňový řád“), přenesen také nově do zákona č. 235/2004 Sb., o dani z přidané hodnoty (dále též „zákon o DPH“) přinesl finanční správě efektivnější nástroj v boji proti daňovým únikům. Oproti zajišťovacímu příkazu obsaženému v daňovém řádu úprava v zákoně o DPH do značné míry odstraňuje riziko prodlení při vymáhání. Úspěšnost vymáhání byla o cca 13 % vyšší než u zajišťovacích příkazů vydaných podle daňového řádu.</w:t>
      </w:r>
    </w:p>
    <w:p w:rsidR="00966ADB" w:rsidRPr="008C2BB0" w:rsidRDefault="00966ADB" w:rsidP="00966ADB">
      <w:pPr>
        <w:numPr>
          <w:ilvl w:val="0"/>
          <w:numId w:val="19"/>
        </w:numPr>
        <w:spacing w:after="240"/>
        <w:jc w:val="both"/>
        <w:rPr>
          <w:rFonts w:ascii="Arial" w:hAnsi="Arial" w:cs="Arial"/>
          <w:bCs/>
          <w:sz w:val="22"/>
          <w:szCs w:val="22"/>
        </w:rPr>
      </w:pPr>
      <w:r w:rsidRPr="008C2BB0">
        <w:rPr>
          <w:rFonts w:ascii="Arial" w:hAnsi="Arial" w:cs="Arial"/>
          <w:bCs/>
          <w:sz w:val="22"/>
          <w:szCs w:val="22"/>
        </w:rPr>
        <w:t>Negativní dopad</w:t>
      </w:r>
      <w:r w:rsidRPr="008C2BB0">
        <w:rPr>
          <w:rFonts w:ascii="Arial" w:hAnsi="Arial" w:cs="Arial"/>
          <w:b/>
          <w:bCs/>
          <w:sz w:val="22"/>
          <w:szCs w:val="22"/>
        </w:rPr>
        <w:t xml:space="preserve"> oprav výše daně u pohledávek za dlužníky v insolvenčním řízení </w:t>
      </w:r>
      <w:r w:rsidRPr="008C2BB0">
        <w:rPr>
          <w:rFonts w:ascii="Arial" w:hAnsi="Arial" w:cs="Arial"/>
          <w:bCs/>
          <w:sz w:val="22"/>
          <w:szCs w:val="22"/>
        </w:rPr>
        <w:t>v letech 2011 až 2013 do veřejných rozpočtů</w:t>
      </w:r>
      <w:r w:rsidRPr="008C2BB0">
        <w:rPr>
          <w:rFonts w:ascii="Arial" w:hAnsi="Arial" w:cs="Arial"/>
          <w:b/>
          <w:bCs/>
          <w:sz w:val="22"/>
          <w:szCs w:val="22"/>
        </w:rPr>
        <w:t xml:space="preserve"> </w:t>
      </w:r>
      <w:r w:rsidRPr="008C2BB0">
        <w:rPr>
          <w:rFonts w:ascii="Arial" w:hAnsi="Arial" w:cs="Arial"/>
          <w:bCs/>
          <w:sz w:val="22"/>
          <w:szCs w:val="22"/>
        </w:rPr>
        <w:t>sice nedosáhl předpokládané výše 5 mld. Kč (objem oprav provedených ve sledovaném období ze strany 3 471 věřitelů činil max. 1,2 mld. Kč)</w:t>
      </w:r>
      <w:r w:rsidR="006F395E">
        <w:rPr>
          <w:rFonts w:ascii="Arial" w:hAnsi="Arial" w:cs="Arial"/>
          <w:bCs/>
          <w:sz w:val="22"/>
          <w:szCs w:val="22"/>
        </w:rPr>
        <w:t>,</w:t>
      </w:r>
      <w:r w:rsidRPr="008C2BB0">
        <w:rPr>
          <w:rFonts w:ascii="Arial" w:hAnsi="Arial" w:cs="Arial"/>
          <w:bCs/>
          <w:sz w:val="22"/>
          <w:szCs w:val="22"/>
        </w:rPr>
        <w:t xml:space="preserve"> avšak  GFŘ</w:t>
      </w:r>
      <w:r w:rsidRPr="008C2BB0">
        <w:rPr>
          <w:rFonts w:ascii="Arial" w:hAnsi="Arial" w:cs="Arial"/>
          <w:b/>
          <w:bCs/>
          <w:sz w:val="22"/>
          <w:szCs w:val="22"/>
        </w:rPr>
        <w:t xml:space="preserve"> </w:t>
      </w:r>
      <w:r w:rsidRPr="008C2BB0">
        <w:rPr>
          <w:rFonts w:ascii="Arial" w:hAnsi="Arial" w:cs="Arial"/>
          <w:bCs/>
          <w:sz w:val="22"/>
          <w:szCs w:val="22"/>
        </w:rPr>
        <w:t xml:space="preserve">přesné údaje o využívání tohoto institutu nepředložilo, protože je nemá k dispozici, nakolik obdobná povinnost dlužníka zákonem stanovená nebyla. Rozdíl mezi výší oprav uplatněných věřiteli a hodnotou oprav vykázanou dlužníky se pohyboval mezi 193 mil. Kč a 559 mil. Kč. Do rozdílu se promítla </w:t>
      </w:r>
      <w:r w:rsidRPr="008C2BB0">
        <w:rPr>
          <w:rFonts w:ascii="Arial" w:hAnsi="Arial" w:cs="Arial"/>
          <w:bCs/>
          <w:sz w:val="22"/>
          <w:szCs w:val="22"/>
          <w:u w:val="single"/>
        </w:rPr>
        <w:t>nedostatečná kontrola a rozdílná právní stanoviska uplatňovaná správci daně a insolvenčními správci</w:t>
      </w:r>
      <w:r w:rsidRPr="008C2BB0">
        <w:rPr>
          <w:rFonts w:ascii="Arial" w:hAnsi="Arial" w:cs="Arial"/>
          <w:bCs/>
          <w:sz w:val="22"/>
          <w:szCs w:val="22"/>
        </w:rPr>
        <w:t xml:space="preserve">. V důsledku nejasného výkladu § 44 zákona o DPH </w:t>
      </w:r>
      <w:r w:rsidRPr="008C2BB0">
        <w:rPr>
          <w:rFonts w:ascii="Arial" w:hAnsi="Arial" w:cs="Arial"/>
          <w:bCs/>
          <w:sz w:val="22"/>
          <w:szCs w:val="22"/>
          <w:u w:val="single"/>
        </w:rPr>
        <w:t>byla v rozporu se zákonem snížená daňová povinnost v roce 2011 min. o 144 mil. Kč</w:t>
      </w:r>
      <w:r w:rsidRPr="008C2BB0">
        <w:rPr>
          <w:rFonts w:ascii="Arial" w:hAnsi="Arial" w:cs="Arial"/>
          <w:bCs/>
          <w:sz w:val="22"/>
          <w:szCs w:val="22"/>
        </w:rPr>
        <w:t>. Jedná se o součet oprav k pohledávkám vzniklých před 1. 4. 2011, u kterých se měla oprava výše daně u pohledávek za dlužníky v insolvenčním řízení řídit tehdy platnou zákonnou normou, která však neexistovala. Právní úprava oprav daně u pohledávek za dlužníky v insolvenčním řízení obsažená v zákoně o DPH vyvolávala od nabytí účinnosti řadu významných rozporů mezi výkladem soudů a praxí finanční správy a výkladem a postupy insolvenčních správců a finanční správou.</w:t>
      </w:r>
    </w:p>
    <w:p w:rsidR="00966ADB" w:rsidRPr="008C2BB0" w:rsidRDefault="00966ADB" w:rsidP="00966ADB">
      <w:pPr>
        <w:numPr>
          <w:ilvl w:val="0"/>
          <w:numId w:val="19"/>
        </w:numPr>
        <w:spacing w:after="240"/>
        <w:jc w:val="both"/>
        <w:rPr>
          <w:rFonts w:ascii="Arial" w:hAnsi="Arial" w:cs="Arial"/>
          <w:bCs/>
          <w:sz w:val="22"/>
          <w:szCs w:val="22"/>
        </w:rPr>
      </w:pPr>
      <w:r w:rsidRPr="008C2BB0">
        <w:rPr>
          <w:rFonts w:ascii="Arial" w:hAnsi="Arial" w:cs="Arial"/>
          <w:b/>
          <w:bCs/>
          <w:sz w:val="22"/>
          <w:szCs w:val="22"/>
        </w:rPr>
        <w:t xml:space="preserve">Účinnost nových institutů zaměřených na boj s daňovými úniky se v roce 2013 neprojevila </w:t>
      </w:r>
      <w:r w:rsidRPr="008C2BB0">
        <w:rPr>
          <w:rFonts w:ascii="Arial" w:hAnsi="Arial" w:cs="Arial"/>
          <w:bCs/>
          <w:sz w:val="22"/>
          <w:szCs w:val="22"/>
        </w:rPr>
        <w:t>do takové míry, aby se snížila mezera DPH.</w:t>
      </w:r>
      <w:r w:rsidRPr="008C2BB0">
        <w:rPr>
          <w:rFonts w:ascii="Arial" w:hAnsi="Arial" w:cs="Arial"/>
          <w:b/>
          <w:bCs/>
          <w:sz w:val="22"/>
          <w:szCs w:val="22"/>
        </w:rPr>
        <w:t xml:space="preserve"> </w:t>
      </w:r>
      <w:r w:rsidRPr="008C2BB0">
        <w:rPr>
          <w:rFonts w:ascii="Arial" w:hAnsi="Arial" w:cs="Arial"/>
          <w:bCs/>
          <w:sz w:val="22"/>
          <w:szCs w:val="22"/>
        </w:rPr>
        <w:t>Naopak v absolutním vyjádření se měla z 92 mld. Kč v roce 2011 zvyšovat na 101 mld. Kč v roce 2012 a v roce 2013 měla dosahovat 105 mld. Kč. NKÚ ve svém modelu kvantifikoval mezeru DPH v roce 2013 na úrovni 25,7 %. Podle studie CASE 2013, kterou zveřejnila Evropská komise, činila mezera DPH v ČR za rok 2011 28 %, zatímco průměr EU-26 činil 18 %.</w:t>
      </w:r>
    </w:p>
    <w:p w:rsidR="00966ADB" w:rsidRPr="008C2BB0" w:rsidRDefault="00966ADB" w:rsidP="00966ADB">
      <w:pPr>
        <w:spacing w:after="240"/>
        <w:jc w:val="both"/>
        <w:rPr>
          <w:rFonts w:ascii="Arial" w:hAnsi="Arial" w:cs="Arial"/>
          <w:bCs/>
          <w:sz w:val="22"/>
          <w:szCs w:val="22"/>
        </w:rPr>
      </w:pPr>
      <w:r w:rsidRPr="008C2BB0">
        <w:rPr>
          <w:rFonts w:ascii="Arial" w:hAnsi="Arial" w:cs="Arial"/>
          <w:bCs/>
          <w:sz w:val="22"/>
          <w:szCs w:val="22"/>
        </w:rPr>
        <w:t xml:space="preserve">MF ČR a GFŘ důkladně analyzovaly nedostatky uvedené v Kontrolním závěru z kontrolní akce NKÚ č. 14/17. </w:t>
      </w:r>
      <w:r w:rsidRPr="008C2BB0">
        <w:rPr>
          <w:rFonts w:ascii="Arial" w:hAnsi="Arial" w:cs="Arial"/>
          <w:bCs/>
          <w:sz w:val="22"/>
          <w:szCs w:val="22"/>
          <w:u w:val="single"/>
        </w:rPr>
        <w:t xml:space="preserve"> Se zohledněním vypořádání zásadních připomínek až na úrovni ministra financí a prezidenta Nejvyššího kontrolního úřadu dokládá MF ČR a GFŘ svůj postoj ke Kontrolnímu závěru v předkládaném Stanovisku bez přetrvávajících rozporů</w:t>
      </w:r>
      <w:r w:rsidRPr="008C2BB0">
        <w:rPr>
          <w:rFonts w:ascii="Arial" w:hAnsi="Arial" w:cs="Arial"/>
          <w:bCs/>
          <w:sz w:val="22"/>
          <w:szCs w:val="22"/>
        </w:rPr>
        <w:t xml:space="preserve">: </w:t>
      </w:r>
    </w:p>
    <w:p w:rsidR="00966ADB" w:rsidRPr="008C2BB0" w:rsidRDefault="00966ADB" w:rsidP="00966ADB">
      <w:pPr>
        <w:spacing w:after="240"/>
        <w:jc w:val="both"/>
        <w:rPr>
          <w:rFonts w:ascii="Arial" w:hAnsi="Arial" w:cs="Arial"/>
          <w:bCs/>
          <w:sz w:val="22"/>
          <w:szCs w:val="22"/>
        </w:rPr>
      </w:pPr>
      <w:r w:rsidRPr="008C2BB0">
        <w:rPr>
          <w:rFonts w:ascii="Arial" w:hAnsi="Arial" w:cs="Arial"/>
          <w:bCs/>
          <w:sz w:val="22"/>
          <w:szCs w:val="22"/>
        </w:rPr>
        <w:br w:type="page"/>
      </w:r>
    </w:p>
    <w:p w:rsidR="00966ADB" w:rsidRPr="008C2BB0" w:rsidRDefault="00966ADB" w:rsidP="00966ADB">
      <w:pPr>
        <w:numPr>
          <w:ilvl w:val="0"/>
          <w:numId w:val="1"/>
        </w:numPr>
        <w:spacing w:after="240"/>
        <w:jc w:val="both"/>
        <w:rPr>
          <w:rFonts w:ascii="Arial" w:hAnsi="Arial" w:cs="Arial"/>
          <w:b/>
          <w:bCs/>
          <w:sz w:val="22"/>
          <w:szCs w:val="22"/>
          <w:u w:val="single"/>
        </w:rPr>
      </w:pPr>
      <w:r w:rsidRPr="008C2BB0">
        <w:rPr>
          <w:rFonts w:ascii="Arial" w:hAnsi="Arial" w:cs="Arial"/>
          <w:b/>
          <w:bCs/>
          <w:sz w:val="22"/>
          <w:szCs w:val="22"/>
          <w:u w:val="single"/>
        </w:rPr>
        <w:lastRenderedPageBreak/>
        <w:t>Stanovisko ke zjištěným nedostatkům uvedeným v Kontrolním závěru</w:t>
      </w:r>
    </w:p>
    <w:p w:rsidR="00966ADB" w:rsidRPr="008C2BB0" w:rsidRDefault="00966ADB" w:rsidP="00966ADB">
      <w:pPr>
        <w:spacing w:after="240"/>
        <w:jc w:val="both"/>
        <w:rPr>
          <w:rFonts w:ascii="Arial" w:hAnsi="Arial" w:cs="Arial"/>
          <w:b/>
          <w:bCs/>
          <w:i/>
          <w:sz w:val="22"/>
          <w:szCs w:val="22"/>
          <w:u w:val="single"/>
        </w:rPr>
      </w:pPr>
      <w:r w:rsidRPr="008C2BB0">
        <w:rPr>
          <w:rFonts w:ascii="Arial" w:hAnsi="Arial" w:cs="Arial"/>
          <w:b/>
          <w:bCs/>
          <w:sz w:val="22"/>
          <w:szCs w:val="22"/>
        </w:rPr>
        <w:t xml:space="preserve">1. </w:t>
      </w:r>
      <w:r w:rsidRPr="008C2BB0">
        <w:rPr>
          <w:rFonts w:ascii="Arial" w:hAnsi="Arial" w:cs="Arial"/>
          <w:b/>
          <w:bCs/>
          <w:sz w:val="22"/>
          <w:szCs w:val="22"/>
          <w:u w:val="single"/>
        </w:rPr>
        <w:t xml:space="preserve">Úvodní vyjádření </w:t>
      </w:r>
    </w:p>
    <w:p w:rsidR="00966ADB" w:rsidRPr="008C2BB0" w:rsidRDefault="00966ADB" w:rsidP="00966ADB">
      <w:pPr>
        <w:spacing w:after="240"/>
        <w:jc w:val="both"/>
        <w:rPr>
          <w:rFonts w:ascii="Arial" w:hAnsi="Arial" w:cs="Arial"/>
          <w:b/>
          <w:bCs/>
          <w:sz w:val="22"/>
          <w:szCs w:val="22"/>
        </w:rPr>
      </w:pPr>
      <w:r w:rsidRPr="008C2BB0">
        <w:rPr>
          <w:rFonts w:ascii="Arial" w:hAnsi="Arial" w:cs="Arial"/>
          <w:b/>
          <w:bCs/>
          <w:sz w:val="22"/>
          <w:szCs w:val="22"/>
        </w:rPr>
        <w:t>NKÚ kontrolu nových opatření realizoval v krátkém časovém úseku poté, co zákonná opatření vstoupila v účinnost. Finanční správa v oblasti řádného výběru daně vykonává další opatření a povinnosti. Činnost jednotlivých správců daně (územních pracovišť) je ovlivněna rozdílnou strukturou, počtem plátců daně a kapacitními možnostmi jednotlivých pracovišť. Specifické podmínky pro správu DPH jsou především u Finančního úřadu pro hl. m. Prahu, kde byl v kontrolovaném období registrován vysoký počet rizikových daňových subjektů, vyžadující intenzívní kontrolní činnost a metodickou podporu.</w:t>
      </w:r>
    </w:p>
    <w:p w:rsidR="00966ADB" w:rsidRPr="008C2BB0" w:rsidRDefault="00966ADB" w:rsidP="00966ADB">
      <w:pPr>
        <w:spacing w:after="240"/>
        <w:jc w:val="both"/>
        <w:rPr>
          <w:rFonts w:ascii="Arial" w:hAnsi="Arial" w:cs="Arial"/>
          <w:bCs/>
          <w:sz w:val="22"/>
          <w:szCs w:val="22"/>
        </w:rPr>
      </w:pPr>
      <w:r w:rsidRPr="008C2BB0">
        <w:rPr>
          <w:rFonts w:ascii="Arial" w:hAnsi="Arial" w:cs="Arial"/>
          <w:bCs/>
          <w:sz w:val="22"/>
          <w:szCs w:val="22"/>
        </w:rPr>
        <w:t>Boj s daňovými úniky je pro finanční správu nikdy nekončící proces. Bere do úvahy, že osoby, na které jsou opatření mířeny, přizpůsobují své dosavadní chování tak, aby se nemusely vzdát svých dřívějších neoprávněných výhod. Jelikož se vždy jedná o vzájemné působení opatření, některá nebyla zamýšlena jako plošně aplikovatelná, a jsou proto vymezena na specifické případy (např. zajištění úhrady na nesplatnou nebo dosud nestanovenou daň). Jako takové se tyto opatření vyznačují zejména preventivním účinkem.</w:t>
      </w:r>
    </w:p>
    <w:p w:rsidR="00966ADB" w:rsidRPr="008C2BB0" w:rsidRDefault="00966ADB" w:rsidP="00966ADB">
      <w:pPr>
        <w:spacing w:after="240"/>
        <w:jc w:val="both"/>
        <w:rPr>
          <w:rFonts w:ascii="Arial" w:hAnsi="Arial" w:cs="Arial"/>
          <w:bCs/>
          <w:sz w:val="22"/>
          <w:szCs w:val="22"/>
        </w:rPr>
      </w:pPr>
      <w:r w:rsidRPr="008C2BB0">
        <w:rPr>
          <w:rFonts w:ascii="Arial" w:hAnsi="Arial" w:cs="Arial"/>
          <w:bCs/>
          <w:sz w:val="22"/>
          <w:szCs w:val="22"/>
        </w:rPr>
        <w:t xml:space="preserve">V  postupně rozšiřovaném rámci zákona o DPH byla zaváděna nová specifická legislativní opatření, která měla přispět k razantnějšímu boji proti daňovým podvodům (osobitě přes zveřejňování účtů, režim přenesení daňové povinnosti, nespolehlivého plátce, ručení příjemcem zdanitelného plnění, zajišťovací příkaz). </w:t>
      </w:r>
      <w:r w:rsidRPr="008C2BB0">
        <w:rPr>
          <w:rFonts w:ascii="Arial" w:hAnsi="Arial" w:cs="Arial"/>
          <w:b/>
          <w:bCs/>
          <w:sz w:val="22"/>
          <w:szCs w:val="22"/>
        </w:rPr>
        <w:t>NKÚ dospěl k přijetí závěru</w:t>
      </w:r>
      <w:r w:rsidRPr="008C2BB0">
        <w:rPr>
          <w:rFonts w:ascii="Arial" w:hAnsi="Arial" w:cs="Arial"/>
          <w:bCs/>
          <w:sz w:val="22"/>
          <w:szCs w:val="22"/>
        </w:rPr>
        <w:t>, že implementace kontrolovaných institutů nepřinesla pro správu daní významné pozitivní účinky, neboť mezera DPH se v kontrolovaných letech neustále zvyšuje.</w:t>
      </w:r>
    </w:p>
    <w:p w:rsidR="00966ADB" w:rsidRPr="008C2BB0" w:rsidRDefault="00966ADB" w:rsidP="00966ADB">
      <w:pPr>
        <w:spacing w:after="240"/>
        <w:jc w:val="both"/>
        <w:rPr>
          <w:rFonts w:ascii="Arial" w:hAnsi="Arial" w:cs="Arial"/>
          <w:b/>
          <w:bCs/>
          <w:sz w:val="22"/>
          <w:szCs w:val="22"/>
        </w:rPr>
      </w:pPr>
      <w:r w:rsidRPr="008C2BB0">
        <w:rPr>
          <w:rFonts w:ascii="Arial" w:hAnsi="Arial" w:cs="Arial"/>
          <w:b/>
          <w:bCs/>
          <w:sz w:val="22"/>
          <w:szCs w:val="22"/>
        </w:rPr>
        <w:t xml:space="preserve">MF (GFŘ) rozhodně konstatuje, že existují i další možnosti měření účinků kontrolovaných institutů, než je mezera DPH. Dle GFŘ přitom spolehlivější měřítko účinků kontrolovaných institutů představuje měření procentním nárůstem inkasa DPH, jenž nepřímo vyplývá z procentního růstu spotřeby domácností. </w:t>
      </w:r>
    </w:p>
    <w:p w:rsidR="00966ADB" w:rsidRPr="008C2BB0" w:rsidRDefault="00966ADB" w:rsidP="00966ADB">
      <w:pPr>
        <w:spacing w:after="240"/>
        <w:jc w:val="both"/>
        <w:rPr>
          <w:rFonts w:ascii="Arial" w:hAnsi="Arial" w:cs="Arial"/>
          <w:b/>
          <w:bCs/>
          <w:sz w:val="22"/>
          <w:szCs w:val="22"/>
        </w:rPr>
      </w:pPr>
      <w:r w:rsidRPr="008C2BB0">
        <w:rPr>
          <w:rFonts w:ascii="Arial" w:hAnsi="Arial" w:cs="Arial"/>
          <w:b/>
          <w:bCs/>
          <w:sz w:val="22"/>
          <w:szCs w:val="22"/>
        </w:rPr>
        <w:t>Pokud toto promítneme na reálná čísla, pak v roce 2014 byl oproti roku 2013 meziroční nárůst výnosu DPH cca 5 %. V roce 2014 byl odhadnut meziroční růst výdajů domácností na spotřebu a růst výdajů vládních institucí ve výši 2,7 % (v tom růst spotřeby domácností 2 %). Z empirické úvahy pak lze vyvodit závěr, že růst inkasa DPH ve výši 3 %, který není způsoben zvýšenou spotřebou ani zvýšenou sazbou daně může být připsán pozitivnímu přínosu preventivního účinku kontrolovaných institutů.</w:t>
      </w:r>
    </w:p>
    <w:p w:rsidR="00966ADB" w:rsidRPr="008C2BB0" w:rsidRDefault="00966ADB" w:rsidP="00966ADB">
      <w:pPr>
        <w:spacing w:after="240"/>
        <w:jc w:val="both"/>
        <w:rPr>
          <w:rFonts w:ascii="Arial" w:hAnsi="Arial" w:cs="Arial"/>
          <w:b/>
          <w:bCs/>
          <w:sz w:val="22"/>
          <w:szCs w:val="22"/>
          <w:u w:val="single"/>
        </w:rPr>
      </w:pPr>
      <w:r w:rsidRPr="008C2BB0">
        <w:rPr>
          <w:rFonts w:ascii="Arial" w:hAnsi="Arial" w:cs="Arial"/>
          <w:bCs/>
          <w:sz w:val="22"/>
          <w:szCs w:val="22"/>
        </w:rPr>
        <w:t xml:space="preserve">Činnost finanční správy spočívá zejména </w:t>
      </w:r>
      <w:r w:rsidR="006F395E">
        <w:rPr>
          <w:rFonts w:ascii="Arial" w:hAnsi="Arial" w:cs="Arial"/>
          <w:bCs/>
          <w:sz w:val="22"/>
          <w:szCs w:val="22"/>
        </w:rPr>
        <w:t>v</w:t>
      </w:r>
      <w:r w:rsidRPr="008C2BB0">
        <w:rPr>
          <w:rFonts w:ascii="Arial" w:hAnsi="Arial" w:cs="Arial"/>
          <w:bCs/>
          <w:sz w:val="22"/>
          <w:szCs w:val="22"/>
        </w:rPr>
        <w:t xml:space="preserve"> efektivním využití svých dostupných kapacit ke správnému stanovení daně. Vyměřování, ověřování tvrzených skutečností a dodatečné doměřování daně jsou hlavními úkoly správce daně. Nově zavedené instituty přispěly správcům daně k jejich efektivnější činnosti. Jak aplikace stěžejních nástrojů v kontrolovaném období prokázala (režim přenesené daňové povinnosti), jejich účinek působil přes skutečnost, že počet správců daně byl opakovaně snížen. Na vysvětlení: V kontrolovaném období měli správci daně naplněný limit navyšování finančního ohodnocení prostřednictvím platového stupně. Navíc, v kontrolovaném období byla za stavu snížení počtu pracovníků a snížení finančního ohodnocení prováděná rozsáhlá reorganizace finanční správy, když vzniklo 14 plus 1 finanční úřad. S ohledem na kapacitní možnosti, správce daně musel pokaždé zvažovat, jestli prověří případ nadměrného odpočtu detekovaný spornou důvěryhodností podaného daňového přiznání (dále také „DAP“) DPH na úkor věnování pozornosti prověřování plnění jiných daňových povinností plátců.</w:t>
      </w:r>
    </w:p>
    <w:p w:rsidR="00966ADB" w:rsidRPr="008C2BB0" w:rsidRDefault="00966ADB" w:rsidP="00966ADB">
      <w:pPr>
        <w:spacing w:after="240"/>
        <w:jc w:val="both"/>
        <w:rPr>
          <w:rFonts w:ascii="Arial" w:hAnsi="Arial" w:cs="Arial"/>
          <w:b/>
          <w:bCs/>
          <w:sz w:val="22"/>
          <w:szCs w:val="22"/>
          <w:u w:val="single"/>
        </w:rPr>
      </w:pPr>
      <w:r w:rsidRPr="008C2BB0">
        <w:rPr>
          <w:rFonts w:ascii="Arial" w:hAnsi="Arial" w:cs="Arial"/>
          <w:bCs/>
          <w:sz w:val="22"/>
          <w:szCs w:val="22"/>
        </w:rPr>
        <w:t xml:space="preserve">V zájmu celkového zlepšení činnosti finanční správy a potřebným zaměřením úkolů na zvýšení výběru daně a posílením boje s daňovými úniky došlo začátkem roku 2015 zejména </w:t>
      </w:r>
      <w:r w:rsidRPr="008C2BB0">
        <w:rPr>
          <w:rFonts w:ascii="Arial" w:hAnsi="Arial" w:cs="Arial"/>
          <w:bCs/>
          <w:sz w:val="22"/>
          <w:szCs w:val="22"/>
        </w:rPr>
        <w:lastRenderedPageBreak/>
        <w:t>k personálnímu posílení územních pracovišť GFŘ, a to především v rámci Finančního úřadu pro hl. m. Prahu.</w:t>
      </w:r>
    </w:p>
    <w:p w:rsidR="00966ADB" w:rsidRPr="008C2BB0" w:rsidRDefault="00966ADB" w:rsidP="00966ADB">
      <w:pPr>
        <w:spacing w:after="240"/>
        <w:jc w:val="both"/>
        <w:rPr>
          <w:rFonts w:ascii="Arial" w:hAnsi="Arial" w:cs="Arial"/>
          <w:b/>
          <w:bCs/>
          <w:sz w:val="22"/>
          <w:szCs w:val="22"/>
          <w:u w:val="single"/>
        </w:rPr>
      </w:pPr>
      <w:r w:rsidRPr="008C2BB0">
        <w:rPr>
          <w:rFonts w:ascii="Arial" w:hAnsi="Arial" w:cs="Arial"/>
          <w:b/>
          <w:bCs/>
          <w:sz w:val="22"/>
          <w:szCs w:val="22"/>
        </w:rPr>
        <w:t xml:space="preserve">2. </w:t>
      </w:r>
      <w:r w:rsidRPr="008C2BB0">
        <w:rPr>
          <w:rFonts w:ascii="Arial" w:hAnsi="Arial" w:cs="Arial"/>
          <w:b/>
          <w:bCs/>
          <w:sz w:val="22"/>
          <w:szCs w:val="22"/>
          <w:u w:val="single"/>
        </w:rPr>
        <w:t>Stanoviska k jednotlivým částem Kontrolního závěru</w:t>
      </w:r>
    </w:p>
    <w:p w:rsidR="00966ADB" w:rsidRPr="008C2BB0" w:rsidRDefault="00966ADB" w:rsidP="00966ADB">
      <w:pPr>
        <w:spacing w:after="240"/>
        <w:jc w:val="both"/>
        <w:rPr>
          <w:rFonts w:ascii="Arial" w:hAnsi="Arial" w:cs="Arial"/>
          <w:b/>
          <w:bCs/>
          <w:i/>
          <w:sz w:val="22"/>
          <w:szCs w:val="22"/>
          <w:u w:val="single"/>
        </w:rPr>
      </w:pPr>
      <w:r w:rsidRPr="008C2BB0">
        <w:rPr>
          <w:rFonts w:ascii="Arial" w:hAnsi="Arial" w:cs="Arial"/>
          <w:b/>
          <w:bCs/>
          <w:i/>
          <w:sz w:val="22"/>
          <w:szCs w:val="22"/>
          <w:u w:val="single"/>
        </w:rPr>
        <w:t>Část III. Vyhodnocení</w:t>
      </w:r>
    </w:p>
    <w:p w:rsidR="00966ADB" w:rsidRPr="008C2BB0" w:rsidRDefault="00966ADB" w:rsidP="00966ADB">
      <w:pPr>
        <w:spacing w:after="240"/>
        <w:jc w:val="both"/>
        <w:rPr>
          <w:rFonts w:ascii="Arial" w:hAnsi="Arial" w:cs="Arial"/>
          <w:bCs/>
          <w:sz w:val="22"/>
          <w:szCs w:val="22"/>
        </w:rPr>
      </w:pPr>
      <w:r w:rsidRPr="008C2BB0">
        <w:rPr>
          <w:rFonts w:ascii="Arial" w:hAnsi="Arial" w:cs="Arial"/>
          <w:b/>
          <w:bCs/>
          <w:i/>
          <w:sz w:val="22"/>
          <w:szCs w:val="22"/>
          <w:u w:val="single"/>
        </w:rPr>
        <w:t>Zjištění NKÚ, odstavec 2 a 4</w:t>
      </w:r>
      <w:r w:rsidRPr="008C2BB0">
        <w:rPr>
          <w:rFonts w:ascii="Arial" w:hAnsi="Arial" w:cs="Arial"/>
          <w:bCs/>
          <w:i/>
          <w:sz w:val="22"/>
          <w:szCs w:val="22"/>
          <w:u w:val="single"/>
        </w:rPr>
        <w:t>:</w:t>
      </w:r>
      <w:r w:rsidRPr="008C2BB0">
        <w:rPr>
          <w:rFonts w:ascii="Arial" w:hAnsi="Arial" w:cs="Arial"/>
          <w:bCs/>
          <w:sz w:val="22"/>
          <w:szCs w:val="22"/>
        </w:rPr>
        <w:t xml:space="preserve"> </w:t>
      </w:r>
    </w:p>
    <w:p w:rsidR="00966ADB" w:rsidRPr="008C2BB0" w:rsidRDefault="00966ADB" w:rsidP="00966ADB">
      <w:pPr>
        <w:spacing w:after="240"/>
        <w:jc w:val="both"/>
        <w:rPr>
          <w:rFonts w:ascii="Arial" w:hAnsi="Arial" w:cs="Arial"/>
          <w:bCs/>
          <w:i/>
          <w:sz w:val="22"/>
          <w:szCs w:val="22"/>
        </w:rPr>
      </w:pPr>
      <w:r w:rsidRPr="008C2BB0">
        <w:rPr>
          <w:rFonts w:ascii="Arial" w:hAnsi="Arial" w:cs="Arial"/>
          <w:bCs/>
          <w:i/>
          <w:sz w:val="22"/>
          <w:szCs w:val="22"/>
        </w:rPr>
        <w:t>„Negativní dopad měla skutečnost, že změny zákona o DPH nabývaly účinnosti několik dní po svém schválení a zveřejnění. To neumožnilo řádnou metodickou a technickou přípravu pro zvládnutí administrativně náročnějších postupů.“</w:t>
      </w:r>
    </w:p>
    <w:p w:rsidR="00966ADB" w:rsidRPr="008C2BB0" w:rsidRDefault="00966ADB" w:rsidP="00966ADB">
      <w:pPr>
        <w:spacing w:after="240"/>
        <w:jc w:val="both"/>
        <w:rPr>
          <w:rFonts w:ascii="Arial" w:hAnsi="Arial" w:cs="Arial"/>
          <w:bCs/>
          <w:i/>
          <w:sz w:val="22"/>
          <w:szCs w:val="22"/>
        </w:rPr>
      </w:pPr>
      <w:r w:rsidRPr="008C2BB0">
        <w:rPr>
          <w:rFonts w:ascii="Arial" w:hAnsi="Arial" w:cs="Arial"/>
          <w:bCs/>
          <w:i/>
          <w:sz w:val="22"/>
          <w:szCs w:val="22"/>
        </w:rPr>
        <w:t>„Nastavení krátké lhůty pro ověření bankovních účtů plátců způsobilo, že v zákonem stanoveném termínu nebyly všechny účty zveřejněny.“</w:t>
      </w:r>
    </w:p>
    <w:p w:rsidR="00966ADB" w:rsidRPr="008C2BB0" w:rsidRDefault="00966ADB" w:rsidP="00966ADB">
      <w:pPr>
        <w:spacing w:after="240"/>
        <w:jc w:val="both"/>
        <w:rPr>
          <w:rFonts w:ascii="Arial" w:hAnsi="Arial" w:cs="Arial"/>
          <w:bCs/>
          <w:sz w:val="22"/>
          <w:szCs w:val="22"/>
        </w:rPr>
      </w:pPr>
      <w:r w:rsidRPr="008C2BB0">
        <w:rPr>
          <w:rFonts w:ascii="Arial" w:hAnsi="Arial" w:cs="Arial"/>
          <w:bCs/>
          <w:sz w:val="22"/>
          <w:szCs w:val="22"/>
          <w:u w:val="single"/>
        </w:rPr>
        <w:t>Stanovisko:</w:t>
      </w:r>
    </w:p>
    <w:p w:rsidR="00966ADB" w:rsidRPr="008C2BB0" w:rsidRDefault="00966ADB" w:rsidP="00966ADB">
      <w:pPr>
        <w:spacing w:after="240"/>
        <w:jc w:val="both"/>
        <w:rPr>
          <w:rFonts w:ascii="Arial" w:hAnsi="Arial" w:cs="Arial"/>
          <w:bCs/>
          <w:sz w:val="22"/>
          <w:szCs w:val="22"/>
        </w:rPr>
      </w:pPr>
      <w:r w:rsidRPr="008C2BB0">
        <w:rPr>
          <w:rFonts w:ascii="Arial" w:hAnsi="Arial" w:cs="Arial"/>
          <w:bCs/>
          <w:sz w:val="22"/>
          <w:szCs w:val="22"/>
        </w:rPr>
        <w:t xml:space="preserve">Délku a průběh trvání celého legislativního procesu, nelze předem bezpečně odhadnout. Stanovení krátké </w:t>
      </w:r>
      <w:proofErr w:type="spellStart"/>
      <w:r w:rsidRPr="008C2BB0">
        <w:rPr>
          <w:rFonts w:ascii="Arial" w:hAnsi="Arial" w:cs="Arial"/>
          <w:bCs/>
          <w:sz w:val="22"/>
          <w:szCs w:val="22"/>
        </w:rPr>
        <w:t>legisvakanční</w:t>
      </w:r>
      <w:proofErr w:type="spellEnd"/>
      <w:r w:rsidRPr="008C2BB0">
        <w:rPr>
          <w:rFonts w:ascii="Arial" w:hAnsi="Arial" w:cs="Arial"/>
          <w:bCs/>
          <w:sz w:val="22"/>
          <w:szCs w:val="22"/>
        </w:rPr>
        <w:t xml:space="preserve"> lhůty před účinností legislativních opatření bylo motivováno snahou o její co čím dřívější aplikaci v praxi.</w:t>
      </w:r>
    </w:p>
    <w:p w:rsidR="00966ADB" w:rsidRPr="008C2BB0" w:rsidRDefault="00966ADB" w:rsidP="00966ADB">
      <w:pPr>
        <w:spacing w:after="240"/>
        <w:jc w:val="both"/>
        <w:rPr>
          <w:rFonts w:ascii="Arial" w:hAnsi="Arial" w:cs="Arial"/>
          <w:bCs/>
          <w:sz w:val="22"/>
          <w:szCs w:val="22"/>
        </w:rPr>
      </w:pPr>
      <w:r w:rsidRPr="008C2BB0">
        <w:rPr>
          <w:rFonts w:ascii="Arial" w:hAnsi="Arial" w:cs="Arial"/>
          <w:bCs/>
          <w:sz w:val="22"/>
          <w:szCs w:val="22"/>
        </w:rPr>
        <w:t xml:space="preserve">K námitce o nastavení krátké lhůty pro ověření bankovních účtů plátců uvádíme, že tato lhůta byla na základě předběžného vyhodnocení finanční správy považována za dostatečnou, a to v návaznosti na očekávané chování plátců daně a zprostředkovatelů platebních služeb. V přechodných ustanoveních k zákonu č. 502/2012 Sb., kterým se mění zákon o DPH, byla proto s ohledem na zavedení nového institutu v boji proti daňovým únikům stanovena pro osobu povinnou k dani, která byla ke dni předcházejícímu dni nabytí účinnosti tohoto zákona plátcem, povinnost oznámit správci daně ve lhůtě do dvou měsíců ode dne nabytí účinnosti zákona údaje uvedené v § 96 zákona o DPH. Toto přechodné ustanovení řešilo situaci plátců, kterým byla stanovena lhůta do 1. března 2013, aby splnili povinnost stanovenou v § 96 odst. 1 zákona o DPH, tj. aby splnili svou oznamovací povinnost a podali oznámení o změně registračních údajů, a aby splnili povinnost stanovenou pro nové plátce v § 96 odst. 2 zákona o DPH, tj. aby určili správci daně čísla účtů, která budou zveřejněna podle ustanovení § 98 písm. d) zákona o DPH. </w:t>
      </w:r>
    </w:p>
    <w:p w:rsidR="00966ADB" w:rsidRPr="008C2BB0" w:rsidRDefault="00966ADB" w:rsidP="00966ADB">
      <w:pPr>
        <w:spacing w:after="240"/>
        <w:jc w:val="both"/>
        <w:rPr>
          <w:rFonts w:ascii="Arial" w:hAnsi="Arial" w:cs="Arial"/>
          <w:bCs/>
          <w:sz w:val="22"/>
          <w:szCs w:val="22"/>
        </w:rPr>
      </w:pPr>
      <w:r w:rsidRPr="008C2BB0">
        <w:rPr>
          <w:rFonts w:ascii="Arial" w:hAnsi="Arial" w:cs="Arial"/>
          <w:bCs/>
          <w:sz w:val="22"/>
          <w:szCs w:val="22"/>
        </w:rPr>
        <w:t>Co se týká dopadů ustanovení zákona o DPH na praxi, tak byly vydány informace a metodická upřesnění, která jsou k dispozici na webových stránkách Ministerstva financí ČR a finanční správy. Ty potom obsahují konkrétní a detailní informace o jednotlivých ustanoveních. Takto tomu bylo i v případě zveřejňování bankovních účtů a institutu nespolehlivého plátce.</w:t>
      </w:r>
    </w:p>
    <w:p w:rsidR="00966ADB" w:rsidRPr="008C2BB0" w:rsidRDefault="00966ADB" w:rsidP="00966ADB">
      <w:pPr>
        <w:spacing w:after="240"/>
        <w:jc w:val="both"/>
        <w:rPr>
          <w:rFonts w:ascii="Arial" w:hAnsi="Arial" w:cs="Arial"/>
          <w:bCs/>
          <w:sz w:val="22"/>
          <w:szCs w:val="22"/>
        </w:rPr>
      </w:pPr>
      <w:r w:rsidRPr="008C2BB0">
        <w:rPr>
          <w:rFonts w:ascii="Arial" w:hAnsi="Arial" w:cs="Arial"/>
          <w:b/>
          <w:bCs/>
          <w:i/>
          <w:sz w:val="22"/>
          <w:szCs w:val="22"/>
          <w:u w:val="single"/>
        </w:rPr>
        <w:t>Zjištění NKÚ, odstavec 3</w:t>
      </w:r>
      <w:r w:rsidRPr="008C2BB0">
        <w:rPr>
          <w:rFonts w:ascii="Arial" w:hAnsi="Arial" w:cs="Arial"/>
          <w:bCs/>
          <w:i/>
          <w:sz w:val="22"/>
          <w:szCs w:val="22"/>
          <w:u w:val="single"/>
        </w:rPr>
        <w:t>:</w:t>
      </w:r>
    </w:p>
    <w:p w:rsidR="00966ADB" w:rsidRPr="008C2BB0" w:rsidRDefault="00966ADB" w:rsidP="00966ADB">
      <w:pPr>
        <w:spacing w:after="240"/>
        <w:jc w:val="both"/>
        <w:rPr>
          <w:rFonts w:ascii="Arial" w:hAnsi="Arial" w:cs="Arial"/>
          <w:bCs/>
          <w:i/>
          <w:sz w:val="22"/>
          <w:szCs w:val="22"/>
        </w:rPr>
      </w:pPr>
      <w:r w:rsidRPr="008C2BB0">
        <w:rPr>
          <w:rFonts w:ascii="Arial" w:hAnsi="Arial" w:cs="Arial"/>
          <w:bCs/>
          <w:i/>
          <w:sz w:val="22"/>
          <w:szCs w:val="22"/>
        </w:rPr>
        <w:t>„Stejný negativní dopad měla i právní úprava umožňující různý výklad. U opravy výše daně za dlužníky v insolvenčním řízení nebylo zřejmé, kterých pohledávek z hlediska jejich vzniku se ustanovení týkalo, a jaké bylo postavení pohledávky v insolvenčním řízení. Množství vedených soudních sporů finanční správu zatěžovalo.“</w:t>
      </w:r>
    </w:p>
    <w:p w:rsidR="00966ADB" w:rsidRPr="008C2BB0" w:rsidRDefault="00966ADB" w:rsidP="00966ADB">
      <w:pPr>
        <w:spacing w:after="240"/>
        <w:jc w:val="both"/>
        <w:rPr>
          <w:rFonts w:ascii="Arial" w:hAnsi="Arial" w:cs="Arial"/>
          <w:bCs/>
          <w:sz w:val="22"/>
          <w:szCs w:val="22"/>
        </w:rPr>
      </w:pPr>
      <w:r w:rsidRPr="008C2BB0">
        <w:rPr>
          <w:rFonts w:ascii="Arial" w:hAnsi="Arial" w:cs="Arial"/>
          <w:bCs/>
          <w:sz w:val="22"/>
          <w:szCs w:val="22"/>
          <w:u w:val="single"/>
        </w:rPr>
        <w:t>Stanovisko:</w:t>
      </w:r>
    </w:p>
    <w:p w:rsidR="00966ADB" w:rsidRPr="008C2BB0" w:rsidRDefault="00966ADB" w:rsidP="00966ADB">
      <w:pPr>
        <w:spacing w:after="240"/>
        <w:jc w:val="both"/>
        <w:rPr>
          <w:rFonts w:ascii="Arial" w:hAnsi="Arial" w:cs="Arial"/>
          <w:bCs/>
          <w:sz w:val="22"/>
          <w:szCs w:val="22"/>
        </w:rPr>
      </w:pPr>
      <w:r w:rsidRPr="008C2BB0">
        <w:rPr>
          <w:rFonts w:ascii="Arial" w:hAnsi="Arial" w:cs="Arial"/>
          <w:bCs/>
          <w:sz w:val="22"/>
          <w:szCs w:val="22"/>
        </w:rPr>
        <w:t xml:space="preserve">Oprava výše daně u pohledávek za dlužníky po určité době splatnosti je v současné době jediným nástrojem, kterým lze v souladu se </w:t>
      </w:r>
      <w:r w:rsidRPr="008C2BB0">
        <w:rPr>
          <w:rFonts w:ascii="Arial" w:hAnsi="Arial" w:cs="Arial"/>
          <w:b/>
          <w:bCs/>
          <w:sz w:val="22"/>
          <w:szCs w:val="22"/>
        </w:rPr>
        <w:t>Směrnicí Rady č. 2006/112/ES ze dne 28. listopadu 2006 o společném systému daně z přidané hodnoty</w:t>
      </w:r>
      <w:r w:rsidRPr="008C2BB0">
        <w:rPr>
          <w:rFonts w:ascii="Arial" w:hAnsi="Arial" w:cs="Arial"/>
          <w:bCs/>
          <w:sz w:val="22"/>
          <w:szCs w:val="22"/>
        </w:rPr>
        <w:t xml:space="preserve"> (článek 185, odst. 2) podpořit podnikatelské prostředí v České republice, což bylo i úmyslem při zavádění tohoto institutu. </w:t>
      </w:r>
    </w:p>
    <w:p w:rsidR="00966ADB" w:rsidRPr="008C2BB0" w:rsidRDefault="00966ADB" w:rsidP="00966ADB">
      <w:pPr>
        <w:spacing w:after="240"/>
        <w:jc w:val="both"/>
        <w:rPr>
          <w:rFonts w:ascii="Arial" w:hAnsi="Arial" w:cs="Arial"/>
          <w:bCs/>
          <w:sz w:val="22"/>
          <w:szCs w:val="22"/>
        </w:rPr>
      </w:pPr>
      <w:r w:rsidRPr="008C2BB0">
        <w:rPr>
          <w:rFonts w:ascii="Arial" w:hAnsi="Arial" w:cs="Arial"/>
          <w:bCs/>
          <w:sz w:val="22"/>
          <w:szCs w:val="22"/>
        </w:rPr>
        <w:lastRenderedPageBreak/>
        <w:t>Pokud jde o námitku různého výkladu právní úpravy ustanovení opravy výše daně za dlužníky v insolvenčním řízení podle § 44 zákona o DPH uvádíme, že tato právní úprava prošla</w:t>
      </w:r>
      <w:r w:rsidRPr="008C2BB0">
        <w:rPr>
          <w:rFonts w:ascii="Arial" w:hAnsi="Arial" w:cs="Arial"/>
          <w:bCs/>
          <w:sz w:val="22"/>
          <w:szCs w:val="22"/>
          <w:u w:val="single"/>
        </w:rPr>
        <w:t xml:space="preserve"> standardním legislativním procesem v řádném připomínkovém řízení.</w:t>
      </w:r>
      <w:r w:rsidRPr="008C2BB0">
        <w:rPr>
          <w:rFonts w:ascii="Arial" w:hAnsi="Arial" w:cs="Arial"/>
          <w:bCs/>
          <w:sz w:val="22"/>
          <w:szCs w:val="22"/>
        </w:rPr>
        <w:t xml:space="preserve"> </w:t>
      </w:r>
    </w:p>
    <w:p w:rsidR="00966ADB" w:rsidRPr="008C2BB0" w:rsidRDefault="00966ADB" w:rsidP="00966ADB">
      <w:pPr>
        <w:spacing w:after="240"/>
        <w:jc w:val="both"/>
        <w:rPr>
          <w:rFonts w:ascii="Arial" w:hAnsi="Arial" w:cs="Arial"/>
          <w:bCs/>
          <w:sz w:val="22"/>
          <w:szCs w:val="22"/>
        </w:rPr>
      </w:pPr>
      <w:r w:rsidRPr="008C2BB0">
        <w:rPr>
          <w:rFonts w:ascii="Arial" w:hAnsi="Arial" w:cs="Arial"/>
          <w:bCs/>
          <w:sz w:val="22"/>
          <w:szCs w:val="22"/>
        </w:rPr>
        <w:t xml:space="preserve">Kromě NKÚ nebyly </w:t>
      </w:r>
      <w:r w:rsidRPr="008C2BB0">
        <w:rPr>
          <w:rFonts w:ascii="Arial" w:hAnsi="Arial" w:cs="Arial"/>
          <w:b/>
          <w:bCs/>
          <w:sz w:val="22"/>
          <w:szCs w:val="22"/>
        </w:rPr>
        <w:t>ke konceptu vzneseny žádné připomínky ani ze strany Ministerstva spravedlnosti ČR ani insolvenčními správci.</w:t>
      </w:r>
      <w:r w:rsidRPr="008C2BB0">
        <w:rPr>
          <w:rFonts w:ascii="Arial" w:hAnsi="Arial" w:cs="Arial"/>
          <w:bCs/>
          <w:sz w:val="22"/>
          <w:szCs w:val="22"/>
        </w:rPr>
        <w:t xml:space="preserve"> K tomuto tvrzení uvádíme jednotlivé dílčí kroky předcházející zavedení této úpravy.</w:t>
      </w:r>
    </w:p>
    <w:p w:rsidR="00966ADB" w:rsidRPr="008C2BB0" w:rsidRDefault="00966ADB" w:rsidP="00966ADB">
      <w:pPr>
        <w:spacing w:after="240"/>
        <w:jc w:val="both"/>
        <w:rPr>
          <w:rFonts w:ascii="Arial" w:hAnsi="Arial" w:cs="Arial"/>
          <w:bCs/>
          <w:sz w:val="22"/>
          <w:szCs w:val="22"/>
        </w:rPr>
      </w:pPr>
      <w:r w:rsidRPr="008C2BB0">
        <w:rPr>
          <w:rFonts w:ascii="Arial" w:hAnsi="Arial" w:cs="Arial"/>
          <w:bCs/>
          <w:sz w:val="22"/>
          <w:szCs w:val="22"/>
        </w:rPr>
        <w:t>Třeba říci, že do 1. dubna 2011 nebyla podle zákona o DPH oprava výše daně u pohledávek za dlužníky v insolvenčním řízení možná.</w:t>
      </w:r>
      <w:r w:rsidRPr="008C2BB0">
        <w:rPr>
          <w:rFonts w:ascii="Arial" w:hAnsi="Arial" w:cs="Arial"/>
          <w:bCs/>
          <w:i/>
          <w:sz w:val="22"/>
          <w:szCs w:val="22"/>
        </w:rPr>
        <w:t xml:space="preserve"> </w:t>
      </w:r>
      <w:r w:rsidRPr="008C2BB0">
        <w:rPr>
          <w:rFonts w:ascii="Arial" w:hAnsi="Arial" w:cs="Arial"/>
          <w:bCs/>
          <w:sz w:val="22"/>
          <w:szCs w:val="22"/>
        </w:rPr>
        <w:t>V souvislosti s negativním vývojem ekonomické situace v ČR, předložila Hospodářská komora ČR (dále též „HK ČR“) dne 23. září 2009 návrh na změnu zákona o DPH, ve kterém uvedla, že tento návrh by měl být protikrizovým opatřením a jeho cílem je tudíž pomoci firmám, jejichž cash-</w:t>
      </w:r>
      <w:proofErr w:type="spellStart"/>
      <w:r w:rsidRPr="008C2BB0">
        <w:rPr>
          <w:rFonts w:ascii="Arial" w:hAnsi="Arial" w:cs="Arial"/>
          <w:bCs/>
          <w:sz w:val="22"/>
          <w:szCs w:val="22"/>
        </w:rPr>
        <w:t>flow</w:t>
      </w:r>
      <w:proofErr w:type="spellEnd"/>
      <w:r w:rsidRPr="008C2BB0">
        <w:rPr>
          <w:rFonts w:ascii="Arial" w:hAnsi="Arial" w:cs="Arial"/>
          <w:bCs/>
          <w:sz w:val="22"/>
          <w:szCs w:val="22"/>
        </w:rPr>
        <w:t xml:space="preserve"> snižují nedobytné pohledávky za podniky v platební neschopnosti. MF ČR se   tomuto návrhu přiklonilo kvůli jeho významu jako ekonomický nástroj, který má předpoklady na zlepšení finanční situace podniků, a zachování pracovních míst. Svoje sehrálo i přihlédnutí </w:t>
      </w:r>
      <w:r w:rsidR="006F395E">
        <w:rPr>
          <w:rFonts w:ascii="Arial" w:hAnsi="Arial" w:cs="Arial"/>
          <w:bCs/>
          <w:sz w:val="22"/>
          <w:szCs w:val="22"/>
        </w:rPr>
        <w:t>ke skutečnosti</w:t>
      </w:r>
      <w:r w:rsidRPr="008C2BB0">
        <w:rPr>
          <w:rFonts w:ascii="Arial" w:hAnsi="Arial" w:cs="Arial"/>
          <w:bCs/>
          <w:sz w:val="22"/>
          <w:szCs w:val="22"/>
        </w:rPr>
        <w:t xml:space="preserve">, že tento institut je využíván i v jiných členských státech EU. V souvislosti s přípravou a projednáváním tohoto návrhu se vycházelo také z Programového prohlášení vlády ze dne 4. srpna 2010, které obsahuje úkol </w:t>
      </w:r>
      <w:r w:rsidRPr="008C2BB0">
        <w:rPr>
          <w:rFonts w:ascii="Arial" w:hAnsi="Arial" w:cs="Arial"/>
          <w:bCs/>
          <w:i/>
          <w:sz w:val="22"/>
          <w:szCs w:val="22"/>
        </w:rPr>
        <w:t xml:space="preserve">„Vláda přijme kroky, které uleví dodavatelům – plátcům DPH, jejichž dodávka zboží nebo služeb není dlouhodobě zaplacena. V takovém případě bude odvedené DPH dodavateli vráceno. Tyto kroky budou v souladu s aktuálními předpisy EU a legislativně přitom bude ošetřeno zamezení možnosti zneužívání.“ </w:t>
      </w:r>
      <w:r w:rsidRPr="008C2BB0">
        <w:rPr>
          <w:rFonts w:ascii="Arial" w:hAnsi="Arial" w:cs="Arial"/>
          <w:bCs/>
          <w:sz w:val="22"/>
          <w:szCs w:val="22"/>
        </w:rPr>
        <w:t xml:space="preserve">Na základě dohody mezi zástupci HK ČR a MF ČR byla vytvořena pracovní skupina, jejímž cílem byla příprava návrhu novely zákona o DPH ve výše uvedené věci. Jednání se zástupci HK ČR proběhla v období od prosince 2009 až do února 2010. </w:t>
      </w:r>
    </w:p>
    <w:p w:rsidR="00966ADB" w:rsidRPr="008C2BB0" w:rsidRDefault="00966ADB" w:rsidP="00966ADB">
      <w:pPr>
        <w:spacing w:after="240"/>
        <w:jc w:val="both"/>
        <w:rPr>
          <w:rFonts w:ascii="Arial" w:hAnsi="Arial" w:cs="Arial"/>
          <w:bCs/>
          <w:sz w:val="22"/>
          <w:szCs w:val="22"/>
        </w:rPr>
      </w:pPr>
      <w:r w:rsidRPr="008C2BB0">
        <w:rPr>
          <w:rFonts w:ascii="Arial" w:hAnsi="Arial" w:cs="Arial"/>
          <w:bCs/>
          <w:sz w:val="22"/>
          <w:szCs w:val="22"/>
        </w:rPr>
        <w:t xml:space="preserve">Už při jednáních bylo jako princip </w:t>
      </w:r>
      <w:r w:rsidR="006F395E">
        <w:rPr>
          <w:rFonts w:ascii="Arial" w:hAnsi="Arial" w:cs="Arial"/>
          <w:bCs/>
          <w:sz w:val="22"/>
          <w:szCs w:val="22"/>
        </w:rPr>
        <w:t>sjednáno</w:t>
      </w:r>
      <w:r w:rsidRPr="008C2BB0">
        <w:rPr>
          <w:rFonts w:ascii="Arial" w:hAnsi="Arial" w:cs="Arial"/>
          <w:bCs/>
          <w:sz w:val="22"/>
          <w:szCs w:val="22"/>
        </w:rPr>
        <w:t xml:space="preserve"> </w:t>
      </w:r>
      <w:r w:rsidRPr="008C2BB0">
        <w:rPr>
          <w:rFonts w:ascii="Arial" w:hAnsi="Arial" w:cs="Arial"/>
          <w:b/>
          <w:bCs/>
          <w:sz w:val="22"/>
          <w:szCs w:val="22"/>
        </w:rPr>
        <w:t>zachování neutrality</w:t>
      </w:r>
      <w:r w:rsidRPr="008C2BB0">
        <w:rPr>
          <w:rFonts w:ascii="Arial" w:hAnsi="Arial" w:cs="Arial"/>
          <w:bCs/>
          <w:sz w:val="22"/>
          <w:szCs w:val="22"/>
        </w:rPr>
        <w:t xml:space="preserve"> a pohledávka státu případně vzniklá vůči úpadci z titulu opravy provedené jeho věřitelem podle § 44 zákona o DPH, je </w:t>
      </w:r>
      <w:r w:rsidRPr="008C2BB0">
        <w:rPr>
          <w:rFonts w:ascii="Arial" w:hAnsi="Arial" w:cs="Arial"/>
          <w:b/>
          <w:bCs/>
          <w:sz w:val="22"/>
          <w:szCs w:val="22"/>
        </w:rPr>
        <w:t>pohledávkou za majetkovou podstatou</w:t>
      </w:r>
      <w:r w:rsidRPr="008C2BB0">
        <w:rPr>
          <w:rFonts w:ascii="Arial" w:hAnsi="Arial" w:cs="Arial"/>
          <w:bCs/>
          <w:sz w:val="22"/>
          <w:szCs w:val="22"/>
        </w:rPr>
        <w:t xml:space="preserve">. Současný stav právní úpravy, tj. kdy jde o </w:t>
      </w:r>
      <w:r w:rsidRPr="008C2BB0">
        <w:rPr>
          <w:rFonts w:ascii="Arial" w:hAnsi="Arial" w:cs="Arial"/>
          <w:bCs/>
          <w:sz w:val="22"/>
          <w:szCs w:val="22"/>
          <w:u w:val="single"/>
        </w:rPr>
        <w:t>pohledávku za podstatou</w:t>
      </w:r>
      <w:r w:rsidRPr="008C2BB0">
        <w:rPr>
          <w:rFonts w:ascii="Arial" w:hAnsi="Arial" w:cs="Arial"/>
          <w:bCs/>
          <w:sz w:val="22"/>
          <w:szCs w:val="22"/>
        </w:rPr>
        <w:t xml:space="preserve">, je chtěným a žádoucím výsledkem jednání při tvorbě této úpravy. Pro doplnění uvádíme, že Ministerstvo spravedlnosti ČR v rámci rekodifikace soukromého práva předložilo v prosinci roku 2012 do vnějšího připomínkového řízení návrh zákona, kterým se mění zákon č. 182/2006 Sb., o úpadku a způsobech jeho řešení (insolvenční zákon), a zákon č. 312/2006 Sb., o insolvenčních správcích, ve znění pozdějších předpisů. </w:t>
      </w:r>
      <w:r w:rsidRPr="008C2BB0">
        <w:rPr>
          <w:rFonts w:ascii="Arial" w:hAnsi="Arial" w:cs="Arial"/>
          <w:bCs/>
          <w:sz w:val="22"/>
          <w:szCs w:val="22"/>
          <w:u w:val="single"/>
        </w:rPr>
        <w:t>Tato novela však neobsahovala řešení problematiky opravy výše DPH u nedobytných pohledávek</w:t>
      </w:r>
      <w:r w:rsidRPr="008C2BB0">
        <w:rPr>
          <w:rFonts w:ascii="Arial" w:hAnsi="Arial" w:cs="Arial"/>
          <w:bCs/>
          <w:sz w:val="22"/>
          <w:szCs w:val="22"/>
        </w:rPr>
        <w:t xml:space="preserve">. MF ČR uplatnilo k novele insolvenčního zákona zásadní připomínku, ve které požadovalo doplnit ustanovení § 168 nebo 169 tak, že statut pohledávky za majetkovou podstatou, resp. pohledávky na roveň jí postavené, mají i pohledávky vzniklé z titulu opravy provedené věřitelem úpadce podle § 44 zákona o DPH. </w:t>
      </w:r>
    </w:p>
    <w:p w:rsidR="00966ADB" w:rsidRPr="008C2BB0" w:rsidRDefault="00966ADB" w:rsidP="00966ADB">
      <w:pPr>
        <w:spacing w:after="240"/>
        <w:jc w:val="both"/>
        <w:rPr>
          <w:rFonts w:ascii="Arial" w:hAnsi="Arial" w:cs="Arial"/>
          <w:bCs/>
          <w:sz w:val="22"/>
          <w:szCs w:val="22"/>
        </w:rPr>
      </w:pPr>
      <w:r w:rsidRPr="008C2BB0">
        <w:rPr>
          <w:rFonts w:ascii="Arial" w:hAnsi="Arial" w:cs="Arial"/>
          <w:bCs/>
          <w:sz w:val="22"/>
          <w:szCs w:val="22"/>
        </w:rPr>
        <w:t xml:space="preserve">Jedním z rozporů při projednávání návrhu bylo i </w:t>
      </w:r>
      <w:r w:rsidRPr="008C2BB0">
        <w:rPr>
          <w:rFonts w:ascii="Arial" w:hAnsi="Arial" w:cs="Arial"/>
          <w:b/>
          <w:bCs/>
          <w:sz w:val="22"/>
          <w:szCs w:val="22"/>
        </w:rPr>
        <w:t>„stáří“ pohledávek</w:t>
      </w:r>
      <w:r w:rsidRPr="008C2BB0">
        <w:rPr>
          <w:rFonts w:ascii="Arial" w:hAnsi="Arial" w:cs="Arial"/>
          <w:bCs/>
          <w:sz w:val="22"/>
          <w:szCs w:val="22"/>
        </w:rPr>
        <w:t xml:space="preserve">, kde se nakonec podařilo s HK ČR dosáhnout konsenzus v tom, že se bude jednat o pohledávky, které vznikly nejpozději 6 měsíců (debatována lhůta 6 - 12 měsíců) před prohlášením soudu o úpadku (samozřejmě s dodržením lhůty 3 let od konce zdaňovacího období, ve kterém se uskutečnilo původní zdanitelné plnění). MF ČR i GFŘ od samého začátku vycházely z plynutí času ve směru časové osy, tj. od nejstaršího k nejmladšímu. Pro úplnost uvádíme, že analogicky je též uvedeno např. v </w:t>
      </w:r>
      <w:proofErr w:type="spellStart"/>
      <w:r w:rsidRPr="008C2BB0">
        <w:rPr>
          <w:rFonts w:ascii="Arial" w:hAnsi="Arial" w:cs="Arial"/>
          <w:bCs/>
          <w:sz w:val="22"/>
          <w:szCs w:val="22"/>
        </w:rPr>
        <w:t>ust</w:t>
      </w:r>
      <w:proofErr w:type="spellEnd"/>
      <w:r w:rsidRPr="008C2BB0">
        <w:rPr>
          <w:rFonts w:ascii="Arial" w:hAnsi="Arial" w:cs="Arial"/>
          <w:bCs/>
          <w:sz w:val="22"/>
          <w:szCs w:val="22"/>
        </w:rPr>
        <w:t xml:space="preserve">. § 189 odst. 3 zákona č. 182/2006 Sb., insolvenční zákon, ve znění pozdějších předpisů, podle kterého zveřejní insolvenční soud v rejstříku seznam přihlášených pohledávek nejpozději 15 dnů přede dnem, kdy se má o nich konat přezkumné jednání. I v tomto případě, kdy je též určen okamžik zpětného plynutí času, se postupuje po směru časové osy. Omezení možnosti oprav výše daně na období starší 6 měsíců od rozhodnutí soudu bylo zvoleno proto, aby byla eliminována možnost oprav pohledávek účelově vzniklých těsně před rozhodnutím soudu o úpadku dlužníka. </w:t>
      </w:r>
    </w:p>
    <w:p w:rsidR="00966ADB" w:rsidRPr="008C2BB0" w:rsidRDefault="00966ADB" w:rsidP="00966ADB">
      <w:pPr>
        <w:spacing w:after="240"/>
        <w:jc w:val="both"/>
        <w:rPr>
          <w:rFonts w:ascii="Arial" w:hAnsi="Arial" w:cs="Arial"/>
          <w:bCs/>
          <w:i/>
          <w:sz w:val="22"/>
          <w:szCs w:val="22"/>
        </w:rPr>
      </w:pPr>
      <w:r w:rsidRPr="008C2BB0">
        <w:rPr>
          <w:rFonts w:ascii="Arial" w:hAnsi="Arial" w:cs="Arial"/>
          <w:bCs/>
          <w:sz w:val="22"/>
          <w:szCs w:val="22"/>
        </w:rPr>
        <w:lastRenderedPageBreak/>
        <w:t>V roce 2010 předložilo MF ČR návrh novely zákona o DPH do meziresortního připomínkového řízení, jehož významnou součástí se stalo ustanovení o opravě daně u pohledávek za dlužníky, kteří jsou v insolvenci. V důvodové zprávě bylo zmíněno, že navrhnuté opatření bude po určité časové době svého „fungování“ vyhodnoceno a v případě jeho pozitivního efektu by mohlo dojít k jeho případnému možnému rozšíření. Taktéž bylo konstatováno, že návrh je plně v souladu s článkem 90 a 185 směrnicí Rady č. 2006/112/ES, která se uplatňuje nejméně ve 12 členských státech EU).</w:t>
      </w:r>
    </w:p>
    <w:p w:rsidR="00966ADB" w:rsidRPr="008C2BB0" w:rsidRDefault="00966ADB" w:rsidP="00966ADB">
      <w:pPr>
        <w:spacing w:after="240"/>
        <w:jc w:val="both"/>
        <w:rPr>
          <w:rFonts w:ascii="Arial" w:hAnsi="Arial" w:cs="Arial"/>
          <w:bCs/>
          <w:sz w:val="22"/>
          <w:szCs w:val="22"/>
        </w:rPr>
      </w:pPr>
      <w:r w:rsidRPr="008C2BB0">
        <w:rPr>
          <w:rFonts w:ascii="Arial" w:hAnsi="Arial" w:cs="Arial"/>
          <w:b/>
          <w:bCs/>
          <w:sz w:val="22"/>
          <w:szCs w:val="22"/>
        </w:rPr>
        <w:t xml:space="preserve">V rámci meziresortního připomínkového řízení nebyly Ministerstvem spravedlnosti ČR k předloženému návrhu § 44 zákona o DPH vzneseny žádné připomínky. </w:t>
      </w:r>
    </w:p>
    <w:p w:rsidR="00966ADB" w:rsidRPr="008C2BB0" w:rsidRDefault="00966ADB" w:rsidP="00966ADB">
      <w:pPr>
        <w:spacing w:after="240"/>
        <w:jc w:val="both"/>
        <w:rPr>
          <w:rFonts w:ascii="Arial" w:hAnsi="Arial" w:cs="Arial"/>
          <w:b/>
          <w:bCs/>
          <w:i/>
          <w:sz w:val="22"/>
          <w:szCs w:val="22"/>
          <w:u w:val="single"/>
        </w:rPr>
      </w:pPr>
      <w:r w:rsidRPr="008C2BB0">
        <w:rPr>
          <w:rFonts w:ascii="Arial" w:hAnsi="Arial" w:cs="Arial"/>
          <w:bCs/>
          <w:sz w:val="22"/>
          <w:szCs w:val="22"/>
        </w:rPr>
        <w:t>Z tohoto důvodu je nepřijatelný pozdější rozdílný výklad této úpravy v rozporu se zavedenou správní praxí.</w:t>
      </w:r>
    </w:p>
    <w:p w:rsidR="00966ADB" w:rsidRPr="008C2BB0" w:rsidRDefault="00966ADB" w:rsidP="00966ADB">
      <w:pPr>
        <w:spacing w:after="240"/>
        <w:jc w:val="both"/>
        <w:rPr>
          <w:rFonts w:ascii="Arial" w:hAnsi="Arial" w:cs="Arial"/>
          <w:b/>
          <w:bCs/>
          <w:i/>
          <w:sz w:val="22"/>
          <w:szCs w:val="22"/>
          <w:u w:val="single"/>
        </w:rPr>
      </w:pPr>
      <w:r w:rsidRPr="008C2BB0">
        <w:rPr>
          <w:rFonts w:ascii="Arial" w:hAnsi="Arial" w:cs="Arial"/>
          <w:b/>
          <w:bCs/>
          <w:i/>
          <w:sz w:val="22"/>
          <w:szCs w:val="22"/>
          <w:u w:val="single"/>
        </w:rPr>
        <w:t>Část IV. Podrobné informace ke skutečnostem zjištěným při kontrole</w:t>
      </w:r>
    </w:p>
    <w:p w:rsidR="00966ADB" w:rsidRPr="008C2BB0" w:rsidRDefault="00966ADB" w:rsidP="00966ADB">
      <w:pPr>
        <w:spacing w:after="240"/>
        <w:jc w:val="both"/>
        <w:rPr>
          <w:rFonts w:ascii="Arial" w:hAnsi="Arial" w:cs="Arial"/>
          <w:b/>
          <w:bCs/>
          <w:i/>
          <w:sz w:val="22"/>
          <w:szCs w:val="22"/>
          <w:u w:val="single"/>
        </w:rPr>
      </w:pPr>
      <w:r w:rsidRPr="008C2BB0">
        <w:rPr>
          <w:rFonts w:ascii="Arial" w:hAnsi="Arial" w:cs="Arial"/>
          <w:b/>
          <w:bCs/>
          <w:sz w:val="22"/>
          <w:szCs w:val="22"/>
          <w:u w:val="single"/>
        </w:rPr>
        <w:t>Bod 1. Zveřejňování bankovních účtů</w:t>
      </w:r>
    </w:p>
    <w:p w:rsidR="00966ADB" w:rsidRPr="008C2BB0" w:rsidRDefault="00966ADB" w:rsidP="00966ADB">
      <w:pPr>
        <w:spacing w:after="240"/>
        <w:jc w:val="both"/>
        <w:rPr>
          <w:rFonts w:ascii="Arial" w:hAnsi="Arial" w:cs="Arial"/>
          <w:b/>
          <w:bCs/>
          <w:sz w:val="22"/>
          <w:szCs w:val="22"/>
        </w:rPr>
      </w:pPr>
      <w:r w:rsidRPr="008C2BB0">
        <w:rPr>
          <w:rFonts w:ascii="Arial" w:hAnsi="Arial" w:cs="Arial"/>
          <w:b/>
          <w:bCs/>
          <w:sz w:val="22"/>
          <w:szCs w:val="22"/>
        </w:rPr>
        <w:t>Stručné shrnutí zjištění NKÚ:</w:t>
      </w:r>
    </w:p>
    <w:p w:rsidR="00966ADB" w:rsidRPr="008C2BB0" w:rsidRDefault="00966ADB" w:rsidP="00966ADB">
      <w:pPr>
        <w:spacing w:after="240"/>
        <w:jc w:val="both"/>
        <w:rPr>
          <w:rFonts w:ascii="Arial" w:hAnsi="Arial" w:cs="Arial"/>
          <w:bCs/>
          <w:sz w:val="22"/>
          <w:szCs w:val="22"/>
          <w:u w:val="single"/>
        </w:rPr>
      </w:pPr>
      <w:r w:rsidRPr="008C2BB0">
        <w:rPr>
          <w:rFonts w:ascii="Arial" w:hAnsi="Arial" w:cs="Arial"/>
          <w:bCs/>
          <w:sz w:val="22"/>
          <w:szCs w:val="22"/>
        </w:rPr>
        <w:t>NKÚ konstatovalo, že GFŘ nesplnilo svou zákonnou povinnost ve smyslu zveřejnění bankovních účtů používaných pro ekonomickou činnost. Finanční úřady měly ve lhůtě od 1. 1. 2013 do 1. 4. 2013 ověřit a následně zveřejnit 518 612 bankovních účtů. NKÚ zjistil, že deset finančních úřadů bylo ve stanovené lhůtě schopno ověřit pouze 73 – 99,5 % účtů. S ohledem na daný stav se GFŘ rozhodlo odložit aplikaci institutu ručení příjemce.</w:t>
      </w:r>
    </w:p>
    <w:p w:rsidR="00966ADB" w:rsidRPr="008C2BB0" w:rsidRDefault="00966ADB" w:rsidP="00966ADB">
      <w:pPr>
        <w:spacing w:after="240"/>
        <w:jc w:val="both"/>
        <w:rPr>
          <w:rFonts w:ascii="Arial" w:hAnsi="Arial" w:cs="Arial"/>
          <w:b/>
          <w:bCs/>
          <w:sz w:val="22"/>
          <w:szCs w:val="22"/>
        </w:rPr>
      </w:pPr>
      <w:r w:rsidRPr="008C2BB0">
        <w:rPr>
          <w:rFonts w:ascii="Arial" w:hAnsi="Arial" w:cs="Arial"/>
          <w:b/>
          <w:bCs/>
          <w:sz w:val="22"/>
          <w:szCs w:val="22"/>
        </w:rPr>
        <w:t>Stanovisko:</w:t>
      </w:r>
    </w:p>
    <w:p w:rsidR="00966ADB" w:rsidRPr="008C2BB0" w:rsidRDefault="00966ADB" w:rsidP="00966ADB">
      <w:pPr>
        <w:spacing w:after="240"/>
        <w:jc w:val="both"/>
        <w:rPr>
          <w:rFonts w:ascii="Arial" w:hAnsi="Arial" w:cs="Arial"/>
          <w:b/>
          <w:bCs/>
          <w:sz w:val="22"/>
          <w:szCs w:val="22"/>
        </w:rPr>
      </w:pPr>
      <w:r w:rsidRPr="008C2BB0">
        <w:rPr>
          <w:rFonts w:ascii="Arial" w:hAnsi="Arial" w:cs="Arial"/>
          <w:b/>
          <w:bCs/>
          <w:sz w:val="22"/>
          <w:szCs w:val="22"/>
        </w:rPr>
        <w:t>Finanční správa průběžně monitorovala a vyhodnocovala aktuální stav ověřování bankovních účtů, které nebyly registrovány k DPH, avšak byly používány pro ekonomickou činnost daňových subjektů. V návaznosti na zjištěné časové prodlení při plnění oznamovacích povinností a související ověřování u poskytovatelů platebních služeb byla nucena přijmout opatření, které neměl</w:t>
      </w:r>
      <w:r w:rsidR="006F395E">
        <w:rPr>
          <w:rFonts w:ascii="Arial" w:hAnsi="Arial" w:cs="Arial"/>
          <w:b/>
          <w:bCs/>
          <w:sz w:val="22"/>
          <w:szCs w:val="22"/>
        </w:rPr>
        <w:t>o</w:t>
      </w:r>
      <w:r w:rsidRPr="008C2BB0">
        <w:rPr>
          <w:rFonts w:ascii="Arial" w:hAnsi="Arial" w:cs="Arial"/>
          <w:b/>
          <w:bCs/>
          <w:sz w:val="22"/>
          <w:szCs w:val="22"/>
        </w:rPr>
        <w:t xml:space="preserve"> negativní dopad na podnikatelské subjekty a fungování reálné ekonomiky. V případě reálné aplikace ručitelské výzvy by byly veškeré bankovní účty ověřeny.</w:t>
      </w:r>
    </w:p>
    <w:p w:rsidR="00966ADB" w:rsidRPr="008C2BB0" w:rsidRDefault="00966ADB" w:rsidP="00966ADB">
      <w:pPr>
        <w:spacing w:after="240"/>
        <w:jc w:val="both"/>
        <w:rPr>
          <w:rFonts w:ascii="Arial" w:hAnsi="Arial" w:cs="Arial"/>
          <w:bCs/>
          <w:sz w:val="22"/>
          <w:szCs w:val="22"/>
          <w:u w:val="single"/>
        </w:rPr>
      </w:pPr>
      <w:r w:rsidRPr="008C2BB0">
        <w:rPr>
          <w:rFonts w:ascii="Arial" w:hAnsi="Arial" w:cs="Arial"/>
          <w:bCs/>
          <w:sz w:val="22"/>
          <w:szCs w:val="22"/>
          <w:u w:val="single"/>
        </w:rPr>
        <w:t xml:space="preserve">Odůvodnění: </w:t>
      </w:r>
    </w:p>
    <w:p w:rsidR="00966ADB" w:rsidRPr="008C2BB0" w:rsidRDefault="00966ADB" w:rsidP="00966ADB">
      <w:pPr>
        <w:spacing w:after="240"/>
        <w:jc w:val="both"/>
        <w:rPr>
          <w:rFonts w:ascii="Arial" w:hAnsi="Arial" w:cs="Arial"/>
          <w:bCs/>
          <w:sz w:val="22"/>
          <w:szCs w:val="22"/>
        </w:rPr>
      </w:pPr>
      <w:r w:rsidRPr="008C2BB0">
        <w:rPr>
          <w:rFonts w:ascii="Arial" w:hAnsi="Arial" w:cs="Arial"/>
          <w:bCs/>
          <w:sz w:val="22"/>
          <w:szCs w:val="22"/>
        </w:rPr>
        <w:t xml:space="preserve">Zveřejnění účtů je dílčím krokem pro aplikaci ručení v případech úhrad za tuzemské plnění na jiný účet, než je vlastní účet dodavatele nebo poskytovatele plnění, který je zveřejněn správcem daně umožňující dálkový přístup. Vzhledem k časovému prodlení způsobenému daňovými subjekty a poskytovateli platebních služeb, pokud by správce daně od 1. 4. 2013 striktně vynucoval pro transakce mimo již zveřejněné bankovní účty institut ručení příjemce plnění za dosud nezaplacené DPH poskytovatelem plnění, jen v segmentu faktoringových finančních služeb by došlo okamžitě ke zhroucení 200 mld. Kč obchodu. V reálném životě by se obchody přesměrovaly do plateb za hotové, čili za takových okolností by nebylo možné ručení za DPH nijak aplikovat. </w:t>
      </w:r>
    </w:p>
    <w:p w:rsidR="00966ADB" w:rsidRPr="008C2BB0" w:rsidRDefault="00966ADB" w:rsidP="00966ADB">
      <w:pPr>
        <w:spacing w:after="240"/>
        <w:jc w:val="both"/>
        <w:rPr>
          <w:rFonts w:ascii="Arial" w:hAnsi="Arial" w:cs="Arial"/>
          <w:bCs/>
          <w:sz w:val="22"/>
          <w:szCs w:val="22"/>
        </w:rPr>
      </w:pPr>
      <w:r w:rsidRPr="008C2BB0">
        <w:rPr>
          <w:rFonts w:ascii="Arial" w:hAnsi="Arial" w:cs="Arial"/>
          <w:bCs/>
          <w:sz w:val="22"/>
          <w:szCs w:val="22"/>
        </w:rPr>
        <w:t>Správce daně byl nucen přistoupit k vyhlášení, že ručitelské výzvy v přechodném období aplikovat nebude, čímž umožnil přijetí legislativní změny založené na ručení pouze v případech, pokud částka úhrady za plnění překročila dvojnásobek částky stanovené pro omezení plateb v hotovosti. Rovněž byl získán čas, aby se našlo řešení pro faktoringové společnosti.</w:t>
      </w:r>
    </w:p>
    <w:p w:rsidR="00966ADB" w:rsidRPr="008C2BB0" w:rsidRDefault="00966ADB" w:rsidP="00966ADB">
      <w:pPr>
        <w:spacing w:after="240"/>
        <w:jc w:val="both"/>
        <w:rPr>
          <w:rFonts w:ascii="Arial" w:hAnsi="Arial" w:cs="Arial"/>
          <w:bCs/>
          <w:sz w:val="22"/>
          <w:szCs w:val="22"/>
        </w:rPr>
      </w:pPr>
      <w:r w:rsidRPr="008C2BB0">
        <w:rPr>
          <w:rFonts w:ascii="Arial" w:hAnsi="Arial" w:cs="Arial"/>
          <w:bCs/>
          <w:sz w:val="22"/>
          <w:szCs w:val="22"/>
        </w:rPr>
        <w:lastRenderedPageBreak/>
        <w:t xml:space="preserve">Vzhledem k situaci, kdy finanční správa věděla, že od 1. 4. 2013 nebude moci aplikovat ručení, bylo z tohoto pohledu racionální ověřovat účty na </w:t>
      </w:r>
      <w:proofErr w:type="gramStart"/>
      <w:r w:rsidRPr="008C2BB0">
        <w:rPr>
          <w:rFonts w:ascii="Arial" w:hAnsi="Arial" w:cs="Arial"/>
          <w:bCs/>
          <w:i/>
          <w:sz w:val="22"/>
          <w:szCs w:val="22"/>
        </w:rPr>
        <w:t>ad</w:t>
      </w:r>
      <w:proofErr w:type="gramEnd"/>
      <w:r w:rsidRPr="008C2BB0">
        <w:rPr>
          <w:rFonts w:ascii="Arial" w:hAnsi="Arial" w:cs="Arial"/>
          <w:bCs/>
          <w:i/>
          <w:sz w:val="22"/>
          <w:szCs w:val="22"/>
        </w:rPr>
        <w:t xml:space="preserve"> hoc</w:t>
      </w:r>
      <w:r w:rsidRPr="008C2BB0">
        <w:rPr>
          <w:rFonts w:ascii="Arial" w:hAnsi="Arial" w:cs="Arial"/>
          <w:bCs/>
          <w:sz w:val="22"/>
          <w:szCs w:val="22"/>
        </w:rPr>
        <w:t xml:space="preserve"> bázi. Dokonce, i kdyby si objektivní situace vyžadovala okamžitou aplikaci ručení, všechny finanční úřady by si svoji povinnost s vypětím všech sil splnily s výjimkou Finančního úřadu pro hl. m. Prahu, kde se zejména ukázala lhůta pro ověření účtů nereálná. Důvody byly kromě neplnění oznamovací povinnosti ze strany plátců také časté změny již nahlášených čísel bankovních účtů a notorické zpoždění odpovědí od zprostředkovatelů platebních služeb. </w:t>
      </w:r>
    </w:p>
    <w:p w:rsidR="00966ADB" w:rsidRPr="008C2BB0" w:rsidRDefault="00966ADB" w:rsidP="00966ADB">
      <w:pPr>
        <w:spacing w:after="240"/>
        <w:jc w:val="both"/>
        <w:rPr>
          <w:rFonts w:ascii="Arial" w:hAnsi="Arial" w:cs="Arial"/>
          <w:bCs/>
          <w:sz w:val="22"/>
          <w:szCs w:val="22"/>
        </w:rPr>
      </w:pPr>
      <w:r w:rsidRPr="008C2BB0">
        <w:rPr>
          <w:rFonts w:ascii="Arial" w:hAnsi="Arial" w:cs="Arial"/>
          <w:bCs/>
          <w:sz w:val="22"/>
          <w:szCs w:val="22"/>
        </w:rPr>
        <w:t xml:space="preserve">Modifikovaný postup finanční správy byl nutný vzhledem k nulové </w:t>
      </w:r>
      <w:proofErr w:type="spellStart"/>
      <w:r w:rsidRPr="008C2BB0">
        <w:rPr>
          <w:rFonts w:ascii="Arial" w:hAnsi="Arial" w:cs="Arial"/>
          <w:bCs/>
          <w:sz w:val="22"/>
          <w:szCs w:val="22"/>
        </w:rPr>
        <w:t>legisvakanční</w:t>
      </w:r>
      <w:proofErr w:type="spellEnd"/>
      <w:r w:rsidRPr="008C2BB0">
        <w:rPr>
          <w:rFonts w:ascii="Arial" w:hAnsi="Arial" w:cs="Arial"/>
          <w:bCs/>
          <w:sz w:val="22"/>
          <w:szCs w:val="22"/>
        </w:rPr>
        <w:t xml:space="preserve"> lhůtě stanovené pro náběh nového opatření.</w:t>
      </w:r>
    </w:p>
    <w:p w:rsidR="00966ADB" w:rsidRPr="008C2BB0" w:rsidRDefault="00966ADB" w:rsidP="00966ADB">
      <w:pPr>
        <w:spacing w:after="240"/>
        <w:jc w:val="both"/>
        <w:rPr>
          <w:rFonts w:ascii="Arial" w:hAnsi="Arial" w:cs="Arial"/>
          <w:b/>
          <w:bCs/>
          <w:i/>
          <w:sz w:val="22"/>
          <w:szCs w:val="22"/>
          <w:u w:val="single"/>
        </w:rPr>
      </w:pPr>
      <w:r w:rsidRPr="008C2BB0">
        <w:rPr>
          <w:rFonts w:ascii="Arial" w:hAnsi="Arial" w:cs="Arial"/>
          <w:b/>
          <w:bCs/>
          <w:sz w:val="22"/>
          <w:szCs w:val="22"/>
          <w:u w:val="single"/>
        </w:rPr>
        <w:t>Bod 2. Režim přenesené daňové povinnosti</w:t>
      </w:r>
    </w:p>
    <w:p w:rsidR="00966ADB" w:rsidRPr="008C2BB0" w:rsidRDefault="00966ADB" w:rsidP="00966ADB">
      <w:pPr>
        <w:spacing w:after="240"/>
        <w:jc w:val="both"/>
        <w:rPr>
          <w:rFonts w:ascii="Arial" w:hAnsi="Arial" w:cs="Arial"/>
          <w:b/>
          <w:bCs/>
          <w:sz w:val="22"/>
          <w:szCs w:val="22"/>
        </w:rPr>
      </w:pPr>
      <w:r w:rsidRPr="008C2BB0">
        <w:rPr>
          <w:rFonts w:ascii="Arial" w:hAnsi="Arial" w:cs="Arial"/>
          <w:b/>
          <w:bCs/>
          <w:sz w:val="22"/>
          <w:szCs w:val="22"/>
        </w:rPr>
        <w:t>Stručné shrnutí zjištění NKÚ:</w:t>
      </w:r>
    </w:p>
    <w:p w:rsidR="00966ADB" w:rsidRPr="008C2BB0" w:rsidRDefault="00966ADB" w:rsidP="00966ADB">
      <w:pPr>
        <w:spacing w:after="240"/>
        <w:jc w:val="both"/>
        <w:rPr>
          <w:rFonts w:ascii="Arial" w:hAnsi="Arial" w:cs="Arial"/>
          <w:bCs/>
          <w:sz w:val="22"/>
          <w:szCs w:val="22"/>
        </w:rPr>
      </w:pPr>
      <w:r w:rsidRPr="008C2BB0">
        <w:rPr>
          <w:rFonts w:ascii="Arial" w:hAnsi="Arial" w:cs="Arial"/>
          <w:bCs/>
          <w:sz w:val="22"/>
          <w:szCs w:val="22"/>
        </w:rPr>
        <w:t xml:space="preserve">NKÚ konstatoval, že při obchodování s vybranými komoditami může stále docházet k daňovým únikům, neboť ve stejném období poskytovatelé vykázali plnění o 14 mld. Kč vyšší než příjemci a i finanční správa, která </w:t>
      </w:r>
      <w:proofErr w:type="gramStart"/>
      <w:r w:rsidRPr="008C2BB0">
        <w:rPr>
          <w:rFonts w:ascii="Arial" w:hAnsi="Arial" w:cs="Arial"/>
          <w:bCs/>
          <w:sz w:val="22"/>
          <w:szCs w:val="22"/>
        </w:rPr>
        <w:t>kontrolovala</w:t>
      </w:r>
      <w:proofErr w:type="gramEnd"/>
      <w:r w:rsidRPr="008C2BB0">
        <w:rPr>
          <w:rFonts w:ascii="Arial" w:hAnsi="Arial" w:cs="Arial"/>
          <w:bCs/>
          <w:sz w:val="22"/>
          <w:szCs w:val="22"/>
        </w:rPr>
        <w:t xml:space="preserve"> rok 2012 </w:t>
      </w:r>
      <w:proofErr w:type="gramStart"/>
      <w:r w:rsidRPr="008C2BB0">
        <w:rPr>
          <w:rFonts w:ascii="Arial" w:hAnsi="Arial" w:cs="Arial"/>
          <w:bCs/>
          <w:sz w:val="22"/>
          <w:szCs w:val="22"/>
        </w:rPr>
        <w:t>doměřila</w:t>
      </w:r>
      <w:proofErr w:type="gramEnd"/>
      <w:r w:rsidRPr="008C2BB0">
        <w:rPr>
          <w:rFonts w:ascii="Arial" w:hAnsi="Arial" w:cs="Arial"/>
          <w:bCs/>
          <w:sz w:val="22"/>
          <w:szCs w:val="22"/>
        </w:rPr>
        <w:t xml:space="preserve"> daň minimálně ve výši 69,5 mil. Kč. Četnost případů, kdy byl zjištěn rozdíl, vypovídá o časové a administrativní náročnosti prověřování. Podle GFŘ z prověrek vyplynulo, že cca 80 % rozdílů bylo způsobeno časovým posunem mezi vykázáním plnění v režimu přenesení daňové povinnosti poskytovatelem a přiznáním daně příjemcem.</w:t>
      </w:r>
    </w:p>
    <w:p w:rsidR="00966ADB" w:rsidRPr="008C2BB0" w:rsidRDefault="00966ADB" w:rsidP="00966ADB">
      <w:pPr>
        <w:spacing w:after="240"/>
        <w:jc w:val="both"/>
        <w:rPr>
          <w:rFonts w:ascii="Arial" w:hAnsi="Arial" w:cs="Arial"/>
          <w:bCs/>
          <w:sz w:val="22"/>
          <w:szCs w:val="22"/>
        </w:rPr>
      </w:pPr>
      <w:r w:rsidRPr="008C2BB0">
        <w:rPr>
          <w:rFonts w:ascii="Arial" w:hAnsi="Arial" w:cs="Arial"/>
          <w:bCs/>
          <w:sz w:val="22"/>
          <w:szCs w:val="22"/>
        </w:rPr>
        <w:t>Nastavení automatizovaného systému křížových kontrol v systému ADIS částečně eliminuje rozdíly vzniklé z důvodu časového posunu a umožňuje efektivněji zaměřit kontrolu na rozdíly, které mohou znamenat porušení povinností při režimu přenesení daňové povinnosti s dopady na daňové příjmy. Většina finančních úřadů úlohu ADIS DPH Výpisy z evidence využívala minimálně, případně vůbec. GFŘ k většímu využití žádná opatření nepřijalo, ani nestanovilo pro finanční úřady minimální rozsah prověřovaných skutečností.</w:t>
      </w:r>
    </w:p>
    <w:p w:rsidR="00966ADB" w:rsidRPr="008C2BB0" w:rsidRDefault="00966ADB" w:rsidP="00966ADB">
      <w:pPr>
        <w:spacing w:after="240"/>
        <w:jc w:val="both"/>
        <w:rPr>
          <w:rFonts w:ascii="Arial" w:hAnsi="Arial" w:cs="Arial"/>
          <w:b/>
          <w:bCs/>
          <w:sz w:val="22"/>
          <w:szCs w:val="22"/>
        </w:rPr>
      </w:pPr>
      <w:r w:rsidRPr="008C2BB0">
        <w:rPr>
          <w:rFonts w:ascii="Arial" w:hAnsi="Arial" w:cs="Arial"/>
          <w:b/>
          <w:bCs/>
          <w:sz w:val="22"/>
          <w:szCs w:val="22"/>
        </w:rPr>
        <w:t xml:space="preserve">Stanovisko: </w:t>
      </w:r>
    </w:p>
    <w:p w:rsidR="00966ADB" w:rsidRPr="008C2BB0" w:rsidRDefault="00966ADB" w:rsidP="00966ADB">
      <w:pPr>
        <w:spacing w:after="240"/>
        <w:jc w:val="both"/>
        <w:rPr>
          <w:rFonts w:ascii="Arial" w:hAnsi="Arial" w:cs="Arial"/>
          <w:b/>
          <w:bCs/>
          <w:sz w:val="22"/>
          <w:szCs w:val="22"/>
        </w:rPr>
      </w:pPr>
      <w:r w:rsidRPr="008C2BB0">
        <w:rPr>
          <w:rFonts w:ascii="Arial" w:hAnsi="Arial" w:cs="Arial"/>
          <w:b/>
          <w:bCs/>
          <w:sz w:val="22"/>
          <w:szCs w:val="22"/>
        </w:rPr>
        <w:t>Dle názoru GFŘ, který vychází z objemu plnění vykázaných v režimu přenesené daňové povinnosti, je zřejmé, že dané opatření splnilo očekávání a mělo pozitivní vliv na zamezení dosavadních daňových úniků. Nejlépe je toto vysledovatelné u</w:t>
      </w:r>
      <w:r w:rsidR="006F395E">
        <w:rPr>
          <w:rFonts w:ascii="Arial" w:hAnsi="Arial" w:cs="Arial"/>
          <w:b/>
          <w:bCs/>
          <w:sz w:val="22"/>
          <w:szCs w:val="22"/>
        </w:rPr>
        <w:t> </w:t>
      </w:r>
      <w:r w:rsidRPr="008C2BB0">
        <w:rPr>
          <w:rFonts w:ascii="Arial" w:hAnsi="Arial" w:cs="Arial"/>
          <w:b/>
          <w:bCs/>
          <w:sz w:val="22"/>
          <w:szCs w:val="22"/>
        </w:rPr>
        <w:t>stavebních prací, kde došlo v krátkém časovém období po zavedení režimu přenesení daňové povinnosti k eliminaci modelových schémat řetězových podvodů.  Lze také konstatovat, že zavedení režimu přenesené daňové povinnosti dále přispělo ke zjednodušení kontrolní činnosti a k omezení daňových podvodů, kterými byly dané komodity před jeho zavedením zatíženy. Opatření je možné vyhodnotit jako účinné. Ve vztahu k vykázané hodnotě plnění v režimu přenesené daňové povinnosti jsou konstatované neshody číselných hodnot z evidence na jedné straně poskytovatelů a</w:t>
      </w:r>
      <w:r w:rsidR="006F395E">
        <w:rPr>
          <w:rFonts w:ascii="Arial" w:hAnsi="Arial" w:cs="Arial"/>
          <w:b/>
          <w:bCs/>
          <w:sz w:val="22"/>
          <w:szCs w:val="22"/>
        </w:rPr>
        <w:t> </w:t>
      </w:r>
      <w:r w:rsidRPr="008C2BB0">
        <w:rPr>
          <w:rFonts w:ascii="Arial" w:hAnsi="Arial" w:cs="Arial"/>
          <w:b/>
          <w:bCs/>
          <w:sz w:val="22"/>
          <w:szCs w:val="22"/>
        </w:rPr>
        <w:t>na druhé straně příjemců plnění, a to zejména u stavebních dodávek, v minimální výši (okolo 1 %). Vzhledem k tomu, že zavedení režimu přenesení daňové povinnosti ve stavebnictví představovalo zcela nový institut dotýkající se širokého počtu daňových subjektů různé velikosti, měla tato skutečnost vliv na počáteční nepřesnosti a chyby v jeho vykazování.</w:t>
      </w:r>
    </w:p>
    <w:p w:rsidR="00966ADB" w:rsidRPr="008C2BB0" w:rsidRDefault="00966ADB" w:rsidP="00966ADB">
      <w:pPr>
        <w:spacing w:after="240"/>
        <w:jc w:val="both"/>
        <w:rPr>
          <w:rFonts w:ascii="Arial" w:hAnsi="Arial" w:cs="Arial"/>
          <w:b/>
          <w:bCs/>
          <w:sz w:val="22"/>
          <w:szCs w:val="22"/>
        </w:rPr>
      </w:pPr>
      <w:r w:rsidRPr="008C2BB0">
        <w:rPr>
          <w:rFonts w:ascii="Arial" w:hAnsi="Arial" w:cs="Arial"/>
          <w:b/>
          <w:bCs/>
          <w:sz w:val="22"/>
          <w:szCs w:val="22"/>
        </w:rPr>
        <w:t xml:space="preserve">Na počtu neshod mezi jednotlivými výpisy z evidence se významnou měrou podílel i časový posun ve vykazování plnění mezi poskytovateli a příjemci. V případě splnění si povinnosti vykázat plnění na obou stranách - i když třeba v rozdílných měsíčních/čtvrtletních zdaňovacích obdobích - neshody neznamenaly v principu krácení státního rozpočtu (dále jen „SR“). Finanční správa při následné kontrolní činnosti prověřila 1/3 vykázaných neshod za I. čtvrtletí roku 2012, ale za předpokladu, </w:t>
      </w:r>
      <w:r w:rsidRPr="008C2BB0">
        <w:rPr>
          <w:rFonts w:ascii="Arial" w:hAnsi="Arial" w:cs="Arial"/>
          <w:b/>
          <w:bCs/>
          <w:sz w:val="22"/>
          <w:szCs w:val="22"/>
        </w:rPr>
        <w:lastRenderedPageBreak/>
        <w:t xml:space="preserve">kdy hodnotícím kritériem je výše kontrolované částky, pak tento počet kontrolovaných neshod představuje 2/3 kontrolované částky. </w:t>
      </w:r>
    </w:p>
    <w:p w:rsidR="00966ADB" w:rsidRPr="008C2BB0" w:rsidRDefault="00966ADB" w:rsidP="00966ADB">
      <w:pPr>
        <w:spacing w:after="240"/>
        <w:jc w:val="both"/>
        <w:rPr>
          <w:rFonts w:ascii="Arial" w:hAnsi="Arial" w:cs="Arial"/>
          <w:b/>
          <w:bCs/>
          <w:sz w:val="22"/>
          <w:szCs w:val="22"/>
        </w:rPr>
      </w:pPr>
      <w:r w:rsidRPr="008C2BB0">
        <w:rPr>
          <w:rFonts w:ascii="Arial" w:hAnsi="Arial" w:cs="Arial"/>
          <w:b/>
          <w:bCs/>
          <w:sz w:val="22"/>
          <w:szCs w:val="22"/>
        </w:rPr>
        <w:t xml:space="preserve">Mezery, které se dosud vyskytují ve vyhodnocování neshod z důvodu nedostatečného automatizovaného zabezpečení, bude možné od 1. ledna 2016 vytěsnit prostřednictvím </w:t>
      </w:r>
      <w:r w:rsidRPr="008C2BB0">
        <w:rPr>
          <w:rFonts w:ascii="Arial" w:hAnsi="Arial" w:cs="Arial"/>
          <w:b/>
          <w:bCs/>
          <w:sz w:val="22"/>
          <w:szCs w:val="22"/>
          <w:u w:val="single"/>
        </w:rPr>
        <w:t>Kontrolního hlášení</w:t>
      </w:r>
      <w:r w:rsidRPr="008C2BB0">
        <w:rPr>
          <w:rFonts w:ascii="Arial" w:hAnsi="Arial" w:cs="Arial"/>
          <w:b/>
          <w:bCs/>
          <w:sz w:val="22"/>
          <w:szCs w:val="22"/>
        </w:rPr>
        <w:t>, které plně nahradí doposud používané výpisy z evidence plnění týkajících se obchodování s komoditami spadajících do režimu přenesené daňové povinnosti.</w:t>
      </w:r>
    </w:p>
    <w:p w:rsidR="00966ADB" w:rsidRPr="008C2BB0" w:rsidRDefault="00966ADB" w:rsidP="00966ADB">
      <w:pPr>
        <w:spacing w:after="240"/>
        <w:jc w:val="both"/>
        <w:rPr>
          <w:rFonts w:ascii="Arial" w:hAnsi="Arial" w:cs="Arial"/>
          <w:b/>
          <w:bCs/>
          <w:sz w:val="22"/>
          <w:szCs w:val="22"/>
        </w:rPr>
      </w:pPr>
      <w:r w:rsidRPr="008C2BB0">
        <w:rPr>
          <w:rFonts w:ascii="Arial" w:hAnsi="Arial" w:cs="Arial"/>
          <w:b/>
          <w:bCs/>
          <w:sz w:val="22"/>
          <w:szCs w:val="22"/>
        </w:rPr>
        <w:t>Dále také došlo ke zvýšení počtu systematizovaných míst v oblasti kontrolní činnosti a</w:t>
      </w:r>
      <w:r w:rsidR="00C70064" w:rsidRPr="008C2BB0">
        <w:rPr>
          <w:rFonts w:ascii="Arial" w:hAnsi="Arial" w:cs="Arial"/>
          <w:b/>
          <w:bCs/>
          <w:sz w:val="22"/>
          <w:szCs w:val="22"/>
        </w:rPr>
        <w:t> </w:t>
      </w:r>
      <w:r w:rsidRPr="008C2BB0">
        <w:rPr>
          <w:rFonts w:ascii="Arial" w:hAnsi="Arial" w:cs="Arial"/>
          <w:b/>
          <w:bCs/>
          <w:sz w:val="22"/>
          <w:szCs w:val="22"/>
        </w:rPr>
        <w:t>to především na finančním úřadě pro hl. m. Prahu, který byl dlouhodobě kapacitně podhodnocen.</w:t>
      </w:r>
    </w:p>
    <w:p w:rsidR="00966ADB" w:rsidRPr="008C2BB0" w:rsidRDefault="00966ADB" w:rsidP="00966ADB">
      <w:pPr>
        <w:spacing w:after="240"/>
        <w:jc w:val="both"/>
        <w:rPr>
          <w:rFonts w:ascii="Arial" w:hAnsi="Arial" w:cs="Arial"/>
          <w:b/>
          <w:bCs/>
          <w:sz w:val="22"/>
          <w:szCs w:val="22"/>
        </w:rPr>
      </w:pPr>
      <w:r w:rsidRPr="008C2BB0">
        <w:rPr>
          <w:rFonts w:ascii="Arial" w:hAnsi="Arial" w:cs="Arial"/>
          <w:b/>
          <w:bCs/>
          <w:sz w:val="22"/>
          <w:szCs w:val="22"/>
        </w:rPr>
        <w:t>GFŘ bere na vědomí výpočet zvýšeného čerpání nadměrných odpočtů ve stavebnictví při zavedení režimu přenesení daňové povinnosti s  upozorněním na zvýšení nároků na kontrolní činnost správců daně. Nicméně konstatované zvýšení nadměrných odpočtů nemusí představovat vyšší míru rizika daňových úniků. Diskrepance totiž vyplývají právě z mechanismu zaváděného opatření u subjektů, které nakupují své vstupy ve standardním režimu, avšak své výstupy realizují v režimu přenesení daňové povinnosti. Nadměrné odpočty ve stavebnictví jsou standardně prověřovanou oblastí ze strany správců daně.</w:t>
      </w:r>
    </w:p>
    <w:p w:rsidR="00966ADB" w:rsidRPr="008C2BB0" w:rsidRDefault="00966ADB" w:rsidP="00966ADB">
      <w:pPr>
        <w:spacing w:after="240"/>
        <w:jc w:val="both"/>
        <w:rPr>
          <w:rFonts w:ascii="Arial" w:hAnsi="Arial" w:cs="Arial"/>
          <w:bCs/>
          <w:sz w:val="22"/>
          <w:szCs w:val="22"/>
          <w:u w:val="single"/>
        </w:rPr>
      </w:pPr>
      <w:r w:rsidRPr="008C2BB0">
        <w:rPr>
          <w:rFonts w:ascii="Arial" w:hAnsi="Arial" w:cs="Arial"/>
          <w:bCs/>
          <w:sz w:val="22"/>
          <w:szCs w:val="22"/>
          <w:u w:val="single"/>
        </w:rPr>
        <w:t>Odůvodnění:</w:t>
      </w:r>
    </w:p>
    <w:p w:rsidR="00966ADB" w:rsidRPr="008C2BB0" w:rsidRDefault="00966ADB" w:rsidP="00966ADB">
      <w:pPr>
        <w:spacing w:after="240"/>
        <w:jc w:val="both"/>
        <w:rPr>
          <w:rFonts w:ascii="Arial" w:hAnsi="Arial" w:cs="Arial"/>
          <w:bCs/>
          <w:sz w:val="22"/>
          <w:szCs w:val="22"/>
        </w:rPr>
      </w:pPr>
      <w:r w:rsidRPr="008C2BB0">
        <w:rPr>
          <w:rFonts w:ascii="Arial" w:hAnsi="Arial" w:cs="Arial"/>
          <w:bCs/>
          <w:sz w:val="22"/>
          <w:szCs w:val="22"/>
        </w:rPr>
        <w:t>Zavedením režimu přenesení daňové povinnosti reagovala finanční správa na evropskou směrnici, která umožňovala v segmentu komoditních obchodů dostat pod kontrolu nepříznivý vývoj daňových úniků. Zpočátku bylo zřejmé, že organizátoři daňového podvodu používali k dosažení svého cíle doklady za fiktivní plnění. Po té co se správci naučili tyto případy řešit a finanční správa zaznamenala mnoho úspěchů u soudu, organizátoři pro získání daňové výhody začali využívat řetěz plátců, kde služba nebo zboží fakticky existovaly a nebylo možné dále používat osvědčené způsoby.</w:t>
      </w:r>
    </w:p>
    <w:p w:rsidR="00966ADB" w:rsidRPr="008C2BB0" w:rsidRDefault="00966ADB" w:rsidP="00966ADB">
      <w:pPr>
        <w:spacing w:after="240"/>
        <w:jc w:val="both"/>
        <w:rPr>
          <w:rFonts w:ascii="Arial" w:hAnsi="Arial" w:cs="Arial"/>
          <w:bCs/>
          <w:sz w:val="22"/>
          <w:szCs w:val="22"/>
        </w:rPr>
      </w:pPr>
      <w:r w:rsidRPr="008C2BB0">
        <w:rPr>
          <w:rFonts w:ascii="Arial" w:hAnsi="Arial" w:cs="Arial"/>
          <w:bCs/>
          <w:sz w:val="22"/>
          <w:szCs w:val="22"/>
        </w:rPr>
        <w:t>Správce daně v minulosti musel řešit celou řadu případů, kdy byly provedeny např. výkopové práce (stavební práce), kdy příjemce takovéto činnosti uplatňoval nárok na odpočet daně a jeho dodavatelé vždy takovéto práce nakoupili od dalších dodavatelů (tedy měli vždy daň na vstupu i na výstupu) až k plátci, který zjevně práce neposkytl a také daň nezaplatil. V celém řetězci poskytovatelů nebylo možno prokázat, kdo práce skutečně poskytl a kdo pouze vystavoval doklady. Se zavedením režimu přenesení daňové povinnosti ve stavebnictví tento model pozbyl smyslu, neboť daňová povinnost se přenáší na plátce, který dosud čerpal nadměrný odpočet.</w:t>
      </w:r>
    </w:p>
    <w:p w:rsidR="00966ADB" w:rsidRPr="008C2BB0" w:rsidRDefault="00966ADB" w:rsidP="00966ADB">
      <w:pPr>
        <w:spacing w:after="240"/>
        <w:jc w:val="both"/>
        <w:rPr>
          <w:rFonts w:ascii="Arial" w:hAnsi="Arial" w:cs="Arial"/>
          <w:bCs/>
          <w:sz w:val="22"/>
          <w:szCs w:val="22"/>
        </w:rPr>
      </w:pPr>
      <w:r w:rsidRPr="008C2BB0">
        <w:rPr>
          <w:rFonts w:ascii="Arial" w:hAnsi="Arial" w:cs="Arial"/>
          <w:bCs/>
          <w:sz w:val="22"/>
          <w:szCs w:val="22"/>
        </w:rPr>
        <w:t>Po přechodu na párování plnění za obě strany transakce bylo každému plátci zřejmé, že dosavadní model daňového úniku již fungovat nemůže. Ze zavedení tohoto kontrolního režimu dovozuje MF ČR a GFŘ jeho mimořádnou účinnost.</w:t>
      </w:r>
    </w:p>
    <w:p w:rsidR="00966ADB" w:rsidRPr="008C2BB0" w:rsidRDefault="00966ADB" w:rsidP="00966ADB">
      <w:pPr>
        <w:spacing w:after="240"/>
        <w:jc w:val="both"/>
        <w:rPr>
          <w:rFonts w:ascii="Arial" w:hAnsi="Arial" w:cs="Arial"/>
          <w:bCs/>
          <w:sz w:val="22"/>
          <w:szCs w:val="22"/>
        </w:rPr>
      </w:pPr>
      <w:r w:rsidRPr="008C2BB0">
        <w:rPr>
          <w:rFonts w:ascii="Arial" w:hAnsi="Arial" w:cs="Arial"/>
          <w:bCs/>
          <w:sz w:val="22"/>
          <w:szCs w:val="22"/>
        </w:rPr>
        <w:t xml:space="preserve">Uváděné rozdíly nepodaných výpisů z evidence se vztahují zejména na problém finančního úřadu pro hl. m. Prahu, neboť z celkových cca 18 tis. nepodaných výpisů připadá na finanční úřad pro hl. m. Prahu cca 14 tis. V období od 1. 4. 2011 do 31. 12. 2013 nebyly podány na finančním úřadě pro hl. m. Prahu výpisy z evidence pro daňové účely v pozici odběratele celkem 4 599 daňovými subjekty (4 995 za kontrolované finanční úřady). V pozici dodavatele se nepodání výpisů z evidence komoditních obchodů v režimu přenesené daňové povinnosti týkalo 3 079 daňových subjektů (3529 za kontrolované finanční úřady). Podle evidence písemností v systému ADIS bylo v rozmezí let 2011 až 2013 podáno 446 985 výpisů z evidence (typ písemnosti 1283113). </w:t>
      </w:r>
      <w:r w:rsidRPr="008C2BB0">
        <w:rPr>
          <w:rFonts w:ascii="Arial" w:hAnsi="Arial" w:cs="Arial"/>
          <w:b/>
          <w:bCs/>
          <w:sz w:val="22"/>
          <w:szCs w:val="22"/>
        </w:rPr>
        <w:t xml:space="preserve">Podíl nepodaných evidencí tak činí cca 3 % všech podání na tomto </w:t>
      </w:r>
      <w:r w:rsidRPr="008C2BB0">
        <w:rPr>
          <w:rFonts w:ascii="Arial" w:hAnsi="Arial" w:cs="Arial"/>
          <w:bCs/>
          <w:sz w:val="22"/>
          <w:szCs w:val="22"/>
        </w:rPr>
        <w:t>finančním úřadu.</w:t>
      </w:r>
    </w:p>
    <w:p w:rsidR="00966ADB" w:rsidRPr="008C2BB0" w:rsidRDefault="00966ADB" w:rsidP="00966ADB">
      <w:pPr>
        <w:spacing w:after="240"/>
        <w:jc w:val="both"/>
        <w:rPr>
          <w:rFonts w:ascii="Arial" w:hAnsi="Arial" w:cs="Arial"/>
          <w:bCs/>
          <w:sz w:val="22"/>
          <w:szCs w:val="22"/>
        </w:rPr>
      </w:pPr>
      <w:r w:rsidRPr="008C2BB0">
        <w:rPr>
          <w:rFonts w:ascii="Arial" w:hAnsi="Arial" w:cs="Arial"/>
          <w:bCs/>
          <w:sz w:val="22"/>
          <w:szCs w:val="22"/>
        </w:rPr>
        <w:lastRenderedPageBreak/>
        <w:t>Případné časové neshody mezi vykázáním režimu přenesení daňové povinnosti mezi poskytovatelem a příjemcem plnění, byly připuštěny v rámci zachování správní praxe a snížení administrativní zátěže plátců daně tam, kde neexistoval důvod obávat se negativního dopadu na inkaso veřejných rozpočtů. Plátci v tomto případě mohou využívat postup podle § 104 zákona o DPH, který vychází z dříve potvrzených závěrů MF Komoře daňových poradců v rámci jednání KV KDP 253/12.04.08, že plátce, kterému vznikla povinnost přiznat daň v režimu přenesení daňové povinnosti (např. při pořízení zboží) a tuto povinnost v řádném zdaňovacím období nesplní, a zároveň si v žádném období neuplatňoval nárok na odpočet daně z daného plnění, pak nekrátí státní rozpočet (za předpokladu, že nemá osvobozené plnění).</w:t>
      </w:r>
      <w:r w:rsidRPr="008C2BB0">
        <w:rPr>
          <w:rFonts w:ascii="Arial" w:hAnsi="Arial" w:cs="Arial"/>
          <w:b/>
          <w:bCs/>
          <w:sz w:val="22"/>
          <w:szCs w:val="22"/>
        </w:rPr>
        <w:t xml:space="preserve"> Zdůrazňujeme, že </w:t>
      </w:r>
      <w:r w:rsidRPr="008C2BB0">
        <w:rPr>
          <w:rFonts w:ascii="Arial" w:hAnsi="Arial" w:cs="Arial"/>
          <w:bCs/>
          <w:sz w:val="22"/>
          <w:szCs w:val="22"/>
        </w:rPr>
        <w:t>ke krácení SR může docházet pouze v případě, že plátce jako příjemce plnění nemá plný nárok na odpočet daně. V rámci Kontrolního hlášení bude správce daně na takovéto situace upozorněn.</w:t>
      </w:r>
    </w:p>
    <w:p w:rsidR="00966ADB" w:rsidRPr="008C2BB0" w:rsidRDefault="00966ADB" w:rsidP="00966ADB">
      <w:pPr>
        <w:spacing w:after="240"/>
        <w:jc w:val="both"/>
        <w:rPr>
          <w:rFonts w:ascii="Arial" w:hAnsi="Arial" w:cs="Arial"/>
          <w:bCs/>
          <w:sz w:val="22"/>
          <w:szCs w:val="22"/>
        </w:rPr>
      </w:pPr>
      <w:r w:rsidRPr="008C2BB0">
        <w:rPr>
          <w:rFonts w:ascii="Arial" w:hAnsi="Arial" w:cs="Arial"/>
          <w:bCs/>
          <w:sz w:val="22"/>
          <w:szCs w:val="22"/>
        </w:rPr>
        <w:t>NKÚ také konstatuje, že po zavedení režimu přenesení daňové povinnosti GFŘ ještě bez počítačové podpory z výpisů evidence v programu IDEA odeslalo na finanční úřady 67 647 neshod za 1. čtvrtletí roku 2012, z nichž kladná hodnota činila 17,9 mld. Kč. Správci daně na to prověřili 33,9 % neshod s doměrkem cca 44 mil. Kč. Za 2. až 4. čtvrtletí bylo stejným způsobem detekováno cca 83 tis. neshod, z nichž celková kladná hodnota představovala 16 mld. Kč. Finanční úřady následně prověřily 21% neshod s doměřenou daní ve výši 25 mil. Kč.</w:t>
      </w:r>
    </w:p>
    <w:p w:rsidR="00966ADB" w:rsidRPr="008C2BB0" w:rsidRDefault="00966ADB" w:rsidP="00966ADB">
      <w:pPr>
        <w:spacing w:after="240"/>
        <w:jc w:val="both"/>
        <w:rPr>
          <w:rFonts w:ascii="Arial" w:hAnsi="Arial" w:cs="Arial"/>
          <w:b/>
          <w:bCs/>
          <w:sz w:val="22"/>
          <w:szCs w:val="22"/>
        </w:rPr>
      </w:pPr>
      <w:r w:rsidRPr="008C2BB0">
        <w:rPr>
          <w:rFonts w:ascii="Arial" w:hAnsi="Arial" w:cs="Arial"/>
          <w:bCs/>
          <w:sz w:val="22"/>
          <w:szCs w:val="22"/>
        </w:rPr>
        <w:t xml:space="preserve">Z uvedeného konstatování je patrné, </w:t>
      </w:r>
      <w:r w:rsidRPr="008C2BB0">
        <w:rPr>
          <w:rFonts w:ascii="Arial" w:hAnsi="Arial" w:cs="Arial"/>
          <w:b/>
          <w:bCs/>
          <w:sz w:val="22"/>
          <w:szCs w:val="22"/>
        </w:rPr>
        <w:t>že správce daně i při povedení „pouze“ 33,9 % kontrol neshod, při tom v objemu transakcí prověřil 12 mld. Kč z celkové výše neshod 18 mld. Kč, což představuje přijatelný poměr dvou třetin prověřených částek.</w:t>
      </w:r>
    </w:p>
    <w:p w:rsidR="00966ADB" w:rsidRPr="008C2BB0" w:rsidRDefault="00966ADB" w:rsidP="00966ADB">
      <w:pPr>
        <w:spacing w:after="240"/>
        <w:jc w:val="both"/>
        <w:rPr>
          <w:rFonts w:ascii="Arial" w:hAnsi="Arial" w:cs="Arial"/>
          <w:bCs/>
          <w:sz w:val="22"/>
          <w:szCs w:val="22"/>
        </w:rPr>
      </w:pPr>
      <w:r w:rsidRPr="008C2BB0">
        <w:rPr>
          <w:rFonts w:ascii="Arial" w:hAnsi="Arial" w:cs="Arial"/>
          <w:bCs/>
          <w:sz w:val="22"/>
          <w:szCs w:val="22"/>
        </w:rPr>
        <w:t>MF ČR a GFŘ jsou přesvědčeni, že ověření cca 40 tis. neshod za zdaňovací období roku 2012 v krátkém sledu po zavedení nového režimu přenesení daňové povinnosti ve stavebnictví je úctyhodný počin, když vezmeme taky v úvahu, že prověřování neshod se dělo při běžné kontrolní činnosti.</w:t>
      </w:r>
    </w:p>
    <w:p w:rsidR="00966ADB" w:rsidRPr="008C2BB0" w:rsidRDefault="00966ADB" w:rsidP="00966ADB">
      <w:pPr>
        <w:spacing w:after="240"/>
        <w:jc w:val="both"/>
        <w:rPr>
          <w:rFonts w:ascii="Arial" w:hAnsi="Arial" w:cs="Arial"/>
          <w:bCs/>
          <w:sz w:val="22"/>
          <w:szCs w:val="22"/>
        </w:rPr>
      </w:pPr>
      <w:r w:rsidRPr="008C2BB0">
        <w:rPr>
          <w:rFonts w:ascii="Arial" w:hAnsi="Arial" w:cs="Arial"/>
          <w:bCs/>
          <w:sz w:val="22"/>
          <w:szCs w:val="22"/>
        </w:rPr>
        <w:t>Náběhu zavedení prověřování neshod v ADIS pro rok 2012 bránil nedostatek finančních prostředků. Z prvních zkušenosti bylo finančním úřadům pro postupy v roce 2013 zřejmé, že správné fungování kontroly musí být spojeno s omezením počtu prvků kontrolovaných neshod na řádku, bez čeho by se neúměrně zahltily kontrolní kapacity finanční správy.</w:t>
      </w:r>
    </w:p>
    <w:p w:rsidR="00966ADB" w:rsidRPr="008C2BB0" w:rsidRDefault="00966ADB" w:rsidP="00966ADB">
      <w:pPr>
        <w:spacing w:after="240"/>
        <w:jc w:val="both"/>
        <w:rPr>
          <w:rFonts w:ascii="Arial" w:hAnsi="Arial" w:cs="Arial"/>
          <w:bCs/>
          <w:sz w:val="22"/>
          <w:szCs w:val="22"/>
        </w:rPr>
      </w:pPr>
      <w:r w:rsidRPr="008C2BB0">
        <w:rPr>
          <w:rFonts w:ascii="Arial" w:hAnsi="Arial" w:cs="Arial"/>
          <w:bCs/>
          <w:sz w:val="22"/>
          <w:szCs w:val="22"/>
        </w:rPr>
        <w:t>Při zaslání informací o neshodách neurčilo GFŘ limity prověřovaných případů (což je ze strany NKÚ vytýkáno) a nechalo to na úvaze správců daně s ohledem na jejich volnou kapacitu. MF ČR a GFŘ jsou přesvědčeny, že to byl jediný možný postup, pokud bylo zapotřebí udržet na určitých úřadech standardní kontrolní činnost.</w:t>
      </w:r>
    </w:p>
    <w:p w:rsidR="00966ADB" w:rsidRPr="008C2BB0" w:rsidRDefault="00966ADB" w:rsidP="00966ADB">
      <w:pPr>
        <w:spacing w:after="240"/>
        <w:jc w:val="both"/>
        <w:rPr>
          <w:rFonts w:ascii="Arial" w:hAnsi="Arial" w:cs="Arial"/>
          <w:bCs/>
          <w:sz w:val="22"/>
          <w:szCs w:val="22"/>
        </w:rPr>
      </w:pPr>
      <w:r w:rsidRPr="008C2BB0">
        <w:rPr>
          <w:rFonts w:ascii="Arial" w:hAnsi="Arial" w:cs="Arial"/>
          <w:bCs/>
          <w:sz w:val="22"/>
          <w:szCs w:val="22"/>
        </w:rPr>
        <w:t>MF ČR a GFŘ mají výhradu k výtce NKÚ týkající se neprovedených šetření neshod na Finanční úřad pro hl. m. Prahu. V souběhu úkolů správce daně, kdy se pak nemůže dostatečně věnovat řešení pochybnostem u požadovaného nadměrného odpočtu (dále též „NO“) v řádově vyšších částkách, NKÚ nebere do úvahy, že správce daně se musí rozhodovat selektivně v zájmu co nejefektivnějšího výběru daně s ohledem na kapacitu správce daně.</w:t>
      </w:r>
    </w:p>
    <w:p w:rsidR="00966ADB" w:rsidRPr="008C2BB0" w:rsidRDefault="00966ADB" w:rsidP="00966ADB">
      <w:pPr>
        <w:spacing w:after="240"/>
        <w:jc w:val="both"/>
        <w:rPr>
          <w:rFonts w:ascii="Arial" w:hAnsi="Arial" w:cs="Arial"/>
          <w:bCs/>
          <w:sz w:val="22"/>
          <w:szCs w:val="22"/>
        </w:rPr>
      </w:pPr>
      <w:r w:rsidRPr="008C2BB0">
        <w:rPr>
          <w:rFonts w:ascii="Arial" w:hAnsi="Arial" w:cs="Arial"/>
          <w:bCs/>
          <w:sz w:val="22"/>
          <w:szCs w:val="22"/>
        </w:rPr>
        <w:t>Neshody v systému ADIS, které byly za rok 2013 zjištěny počátkem roku 2014, stále neodpovídaly možnostem prověřování správcem daně. Sice celkový počet neshod okolo 44 tisíců se snížil oproti 150 tisícem v roce 2012 na méně než jednu třetinu, ale pořád převyšoval kapacitní možnosti. Proto požádalo GFŘ v únoru 2014 správce daně o jejich zkušenosti k případné optimalizaci těchto úloh, a to s vědomím, že největší položka signalizovaných neshod spočívá v časovém posunu. NKÚ názor GFŘ o podílu 80 % připadajícím na neshody z tohoto titulu nepotvrdilo, neboť vycházelo ze vzorku 96 subjektů, bez uvedení způsobu výběru tohoto vzorku.</w:t>
      </w:r>
    </w:p>
    <w:p w:rsidR="00966ADB" w:rsidRPr="008C2BB0" w:rsidRDefault="00966ADB" w:rsidP="00966ADB">
      <w:pPr>
        <w:spacing w:after="240"/>
        <w:jc w:val="both"/>
        <w:rPr>
          <w:rFonts w:ascii="Arial" w:hAnsi="Arial" w:cs="Arial"/>
          <w:bCs/>
          <w:sz w:val="22"/>
          <w:szCs w:val="22"/>
        </w:rPr>
      </w:pPr>
      <w:r w:rsidRPr="008C2BB0">
        <w:rPr>
          <w:rFonts w:ascii="Arial" w:hAnsi="Arial" w:cs="Arial"/>
          <w:bCs/>
          <w:sz w:val="22"/>
          <w:szCs w:val="22"/>
        </w:rPr>
        <w:lastRenderedPageBreak/>
        <w:t>NKÚ konstatoval přetrvávání problémů spojených s aplikaci režimu přenesení daňové povinnosti.</w:t>
      </w:r>
    </w:p>
    <w:p w:rsidR="00966ADB" w:rsidRPr="008C2BB0" w:rsidRDefault="00966ADB" w:rsidP="00966ADB">
      <w:pPr>
        <w:spacing w:after="240"/>
        <w:jc w:val="both"/>
        <w:rPr>
          <w:rFonts w:ascii="Arial" w:hAnsi="Arial" w:cs="Arial"/>
          <w:bCs/>
          <w:sz w:val="22"/>
          <w:szCs w:val="22"/>
        </w:rPr>
      </w:pPr>
      <w:r w:rsidRPr="008C2BB0">
        <w:rPr>
          <w:rFonts w:ascii="Arial" w:hAnsi="Arial" w:cs="Arial"/>
          <w:bCs/>
          <w:sz w:val="22"/>
          <w:szCs w:val="22"/>
        </w:rPr>
        <w:t>MF ČR a GFŘ se k nim vyjadřuje následovně:</w:t>
      </w:r>
    </w:p>
    <w:p w:rsidR="00966ADB" w:rsidRPr="008C2BB0" w:rsidRDefault="00966ADB" w:rsidP="00966ADB">
      <w:pPr>
        <w:numPr>
          <w:ilvl w:val="0"/>
          <w:numId w:val="21"/>
        </w:numPr>
        <w:spacing w:after="240"/>
        <w:jc w:val="both"/>
        <w:rPr>
          <w:rFonts w:ascii="Arial" w:hAnsi="Arial" w:cs="Arial"/>
          <w:bCs/>
          <w:sz w:val="22"/>
          <w:szCs w:val="22"/>
        </w:rPr>
      </w:pPr>
      <w:r w:rsidRPr="008C2BB0">
        <w:rPr>
          <w:rFonts w:ascii="Arial" w:hAnsi="Arial" w:cs="Arial"/>
          <w:bCs/>
          <w:sz w:val="22"/>
          <w:szCs w:val="22"/>
        </w:rPr>
        <w:t>Režim přenesené daňové povinnosti je správně fungující systém v detekci neshod na neplátce, neboť nesprávnou aplikaci zákona o DPH systém odhaluje a správce daně daň doměřuje, přičemž detekce neshod na neplátce fungovala po celou dobu existence.</w:t>
      </w:r>
    </w:p>
    <w:p w:rsidR="00966ADB" w:rsidRPr="008C2BB0" w:rsidRDefault="00966ADB" w:rsidP="00966ADB">
      <w:pPr>
        <w:numPr>
          <w:ilvl w:val="0"/>
          <w:numId w:val="21"/>
        </w:numPr>
        <w:spacing w:after="240"/>
        <w:jc w:val="both"/>
        <w:rPr>
          <w:rFonts w:ascii="Arial" w:hAnsi="Arial" w:cs="Arial"/>
          <w:bCs/>
          <w:sz w:val="22"/>
          <w:szCs w:val="22"/>
        </w:rPr>
      </w:pPr>
      <w:r w:rsidRPr="008C2BB0">
        <w:rPr>
          <w:rFonts w:ascii="Arial" w:hAnsi="Arial" w:cs="Arial"/>
          <w:bCs/>
          <w:sz w:val="22"/>
          <w:szCs w:val="22"/>
        </w:rPr>
        <w:t>Vznik nových podvodů, kdy příjemce plnění v režimu přenesení daňové povinnosti je nekontaktní, není nový druh daňového úniku. Je běžnou realitou, se kterou se správci daně neustále potýkají. Režim přenesení daňové povinnosti necílí na daňové úniky s nekontaktním plátcem, byť je mohou správci daně také řešit.</w:t>
      </w:r>
    </w:p>
    <w:p w:rsidR="00966ADB" w:rsidRPr="008C2BB0" w:rsidRDefault="00966ADB" w:rsidP="00966ADB">
      <w:pPr>
        <w:numPr>
          <w:ilvl w:val="0"/>
          <w:numId w:val="21"/>
        </w:numPr>
        <w:spacing w:after="240"/>
        <w:jc w:val="both"/>
        <w:rPr>
          <w:rFonts w:ascii="Arial" w:hAnsi="Arial" w:cs="Arial"/>
          <w:bCs/>
          <w:sz w:val="22"/>
          <w:szCs w:val="22"/>
        </w:rPr>
      </w:pPr>
      <w:r w:rsidRPr="008C2BB0">
        <w:rPr>
          <w:rFonts w:ascii="Arial" w:hAnsi="Arial" w:cs="Arial"/>
          <w:bCs/>
          <w:sz w:val="22"/>
          <w:szCs w:val="22"/>
        </w:rPr>
        <w:t>S tvrzením, že dochází k přesunu podvodů s NO daně do oblastí, ve kterých není režim přenesení daňové povinnosti dosud aplikován, lze souhlasit. Přesun pozornosti podvodů do nových oblastí komodit je však výborným signálem, že je účinným nástrojem daňových úniků, protože podvodného plátce daně nutí předchozí metody změnit.</w:t>
      </w:r>
    </w:p>
    <w:p w:rsidR="00966ADB" w:rsidRPr="008C2BB0" w:rsidRDefault="00966ADB" w:rsidP="00966ADB">
      <w:pPr>
        <w:numPr>
          <w:ilvl w:val="0"/>
          <w:numId w:val="21"/>
        </w:numPr>
        <w:spacing w:after="240"/>
        <w:jc w:val="both"/>
        <w:rPr>
          <w:rFonts w:ascii="Arial" w:hAnsi="Arial" w:cs="Arial"/>
          <w:bCs/>
          <w:sz w:val="22"/>
          <w:szCs w:val="22"/>
        </w:rPr>
      </w:pPr>
      <w:r w:rsidRPr="008C2BB0">
        <w:rPr>
          <w:rFonts w:ascii="Arial" w:hAnsi="Arial" w:cs="Arial"/>
          <w:bCs/>
          <w:sz w:val="22"/>
          <w:szCs w:val="22"/>
        </w:rPr>
        <w:t>Negativem není, jak to konstatoval NKÚ, že GFŘ hodnotí režim přenesení daňové povinnosti jako administrativně náročný nástroj boje proti daňovým únikům. Proto GFŘ věnuje pozornost optimalizaci systému, aby správce daně neúměrně nezahlcoval.</w:t>
      </w:r>
    </w:p>
    <w:p w:rsidR="00966ADB" w:rsidRPr="008C2BB0" w:rsidRDefault="00966ADB" w:rsidP="00966ADB">
      <w:pPr>
        <w:spacing w:after="240"/>
        <w:jc w:val="both"/>
        <w:rPr>
          <w:rFonts w:ascii="Arial" w:hAnsi="Arial" w:cs="Arial"/>
          <w:bCs/>
          <w:sz w:val="22"/>
          <w:szCs w:val="22"/>
        </w:rPr>
      </w:pPr>
      <w:r w:rsidRPr="008C2BB0">
        <w:rPr>
          <w:rFonts w:ascii="Arial" w:hAnsi="Arial" w:cs="Arial"/>
          <w:bCs/>
          <w:sz w:val="22"/>
          <w:szCs w:val="22"/>
        </w:rPr>
        <w:t xml:space="preserve">V souvislosti s uváděným výpočtem zvýšení čerpání nadměrných odpočtů ve stavebnictví po zavedení režimu přenesené daňové povinnosti je nezbytné si uvědomit, že realizace stavebního díla končí v drtivé většině u příjemce plnění, který není stavební firmou (developer, investor - soukromá osoba). Tak dochází k tomu, že stavební společnost, která nakupuje všechen materiál (stavební materiál bez zabudování nebo zamontování není v režimu přenesení daňové povinnosti, jsou zde jenom stavební práce), uplatní nárok na odpočet za daň zaplacenou ve dvou režimech, jednu část v běžném, a druhou v režimu přenesení daňové povinnosti. Proto narůstající výše nadměrných odpočtů čerpaných plátci daně v oblasti stavebnictví nemusí bez dalšího znamenat zvýšené riziko nových daňových podvodů. </w:t>
      </w:r>
    </w:p>
    <w:p w:rsidR="00966ADB" w:rsidRPr="008C2BB0" w:rsidRDefault="00966ADB" w:rsidP="00966ADB">
      <w:pPr>
        <w:spacing w:after="240"/>
        <w:jc w:val="both"/>
        <w:rPr>
          <w:rFonts w:ascii="Arial" w:hAnsi="Arial" w:cs="Arial"/>
          <w:b/>
          <w:bCs/>
          <w:i/>
          <w:sz w:val="22"/>
          <w:szCs w:val="22"/>
          <w:u w:val="single"/>
        </w:rPr>
      </w:pPr>
      <w:r w:rsidRPr="008C2BB0">
        <w:rPr>
          <w:rFonts w:ascii="Arial" w:hAnsi="Arial" w:cs="Arial"/>
          <w:b/>
          <w:bCs/>
          <w:sz w:val="22"/>
          <w:szCs w:val="22"/>
          <w:u w:val="single"/>
        </w:rPr>
        <w:t>Bod 3. Nespolehlivý plátce</w:t>
      </w:r>
    </w:p>
    <w:p w:rsidR="00966ADB" w:rsidRPr="008C2BB0" w:rsidRDefault="00966ADB" w:rsidP="00966ADB">
      <w:pPr>
        <w:spacing w:after="240"/>
        <w:jc w:val="both"/>
        <w:rPr>
          <w:rFonts w:ascii="Arial" w:hAnsi="Arial" w:cs="Arial"/>
          <w:b/>
          <w:bCs/>
          <w:sz w:val="22"/>
          <w:szCs w:val="22"/>
        </w:rPr>
      </w:pPr>
      <w:r w:rsidRPr="008C2BB0">
        <w:rPr>
          <w:rFonts w:ascii="Arial" w:hAnsi="Arial" w:cs="Arial"/>
          <w:b/>
          <w:bCs/>
          <w:sz w:val="22"/>
          <w:szCs w:val="22"/>
        </w:rPr>
        <w:t>Stručné shrnutí zjištění NKÚ:</w:t>
      </w:r>
    </w:p>
    <w:p w:rsidR="00966ADB" w:rsidRPr="008C2BB0" w:rsidRDefault="00966ADB" w:rsidP="00966ADB">
      <w:pPr>
        <w:spacing w:after="240"/>
        <w:jc w:val="both"/>
        <w:rPr>
          <w:rFonts w:ascii="Arial" w:hAnsi="Arial" w:cs="Arial"/>
          <w:bCs/>
          <w:sz w:val="22"/>
          <w:szCs w:val="22"/>
          <w:u w:val="single"/>
        </w:rPr>
      </w:pPr>
      <w:r w:rsidRPr="008C2BB0">
        <w:rPr>
          <w:rFonts w:ascii="Arial" w:hAnsi="Arial" w:cs="Arial"/>
          <w:bCs/>
          <w:sz w:val="22"/>
          <w:szCs w:val="22"/>
        </w:rPr>
        <w:t>NKÚ konstatovalo, že možnost rozhodnout o nespolehlivosti plátce mají správci daně od 1. 1. 2013. S ohledem na reakce veřejnosti GFŘ stanovilo kritéria pro posouzení plátce jako nespolehlivého tak, že za nespolehlivé mohli být označeni plátci až po vzniku daňové povinnosti nebo nedoplatku na dani v minimální výši 500 tis. Kč (s výjimkou případů, kdy nedoplatek vznikl neuhrazením zajišťovacího příkazu). Skutečnost, že daňové subjekty označené za nespolehlivé plátce podle vyjádření GFŘ většinou nevyvíjejí dále ekonomickou činnost, sice snižuje riziko nárůstu nedoplatků nespolehlivých plátců, na druhé straně zvyšuje riziko, že daňová povinnost nebude uhrazena nebo již vzniklé nedoplatky budou nevymahatelné. Navíc u řady subjektů s vysokými nedoplatky na DPH evidovanými před 1. 1. 2013, případně jinak závažně porušujících povinnost</w:t>
      </w:r>
      <w:r w:rsidR="00E774DB">
        <w:rPr>
          <w:rFonts w:ascii="Arial" w:hAnsi="Arial" w:cs="Arial"/>
          <w:bCs/>
          <w:sz w:val="22"/>
          <w:szCs w:val="22"/>
        </w:rPr>
        <w:t>í</w:t>
      </w:r>
      <w:r w:rsidRPr="008C2BB0">
        <w:rPr>
          <w:rFonts w:ascii="Arial" w:hAnsi="Arial" w:cs="Arial"/>
          <w:bCs/>
          <w:sz w:val="22"/>
          <w:szCs w:val="22"/>
        </w:rPr>
        <w:t xml:space="preserve"> vztahující se ke správě daně, kterým nebylo možné zrušit registraci podle § 106 odst. 2 zákona č. 235/2004 Sb., nemohli správci daně rozhodnout o jejich nespolehlivosti.</w:t>
      </w:r>
      <w:r w:rsidRPr="008C2BB0">
        <w:rPr>
          <w:rFonts w:ascii="Arial" w:hAnsi="Arial" w:cs="Arial"/>
          <w:b/>
          <w:bCs/>
          <w:sz w:val="22"/>
          <w:szCs w:val="22"/>
        </w:rPr>
        <w:t xml:space="preserve"> </w:t>
      </w:r>
      <w:r w:rsidRPr="008C2BB0">
        <w:rPr>
          <w:rFonts w:ascii="Arial" w:hAnsi="Arial" w:cs="Arial"/>
          <w:bCs/>
          <w:sz w:val="22"/>
          <w:szCs w:val="22"/>
        </w:rPr>
        <w:t xml:space="preserve">Teprve podle nových kritérií zveřejněných v srpnu 2014 lze postihnout i protiprávní jednání plátce, v jejichž důsledku nevznikl nedoplatek na dani. Vzhledem k tomu, že správce daně může přihlížet pouze ke </w:t>
      </w:r>
      <w:r w:rsidRPr="008C2BB0">
        <w:rPr>
          <w:rFonts w:ascii="Arial" w:hAnsi="Arial" w:cs="Arial"/>
          <w:bCs/>
          <w:sz w:val="22"/>
          <w:szCs w:val="22"/>
        </w:rPr>
        <w:lastRenderedPageBreak/>
        <w:t>skutečnostem nastalým po 1. 10. 2014, resp. po 1. 1. 2015, lze zvýšení počtu nespolehlivých plátců teprve očekávat. Tím se zvýší i preventivní účinek tohoto ustanovení, uvedený v důvodové zprávě k zákonu č. 502/2012 Sb. – informovat případné obchodní partnery o tom, že obchodují s rizikovými subjekty.</w:t>
      </w:r>
    </w:p>
    <w:p w:rsidR="00966ADB" w:rsidRPr="008C2BB0" w:rsidRDefault="00966ADB" w:rsidP="00966ADB">
      <w:pPr>
        <w:spacing w:after="240"/>
        <w:jc w:val="both"/>
        <w:rPr>
          <w:rFonts w:ascii="Arial" w:hAnsi="Arial" w:cs="Arial"/>
          <w:b/>
          <w:bCs/>
          <w:sz w:val="22"/>
          <w:szCs w:val="22"/>
        </w:rPr>
      </w:pPr>
      <w:r w:rsidRPr="008C2BB0">
        <w:rPr>
          <w:rFonts w:ascii="Arial" w:hAnsi="Arial" w:cs="Arial"/>
          <w:b/>
          <w:bCs/>
          <w:sz w:val="22"/>
          <w:szCs w:val="22"/>
        </w:rPr>
        <w:t>Stanovisko:</w:t>
      </w:r>
    </w:p>
    <w:p w:rsidR="00966ADB" w:rsidRPr="008C2BB0" w:rsidRDefault="00966ADB" w:rsidP="00966ADB">
      <w:pPr>
        <w:spacing w:after="240"/>
        <w:jc w:val="both"/>
        <w:rPr>
          <w:rFonts w:ascii="Arial" w:hAnsi="Arial" w:cs="Arial"/>
          <w:bCs/>
          <w:sz w:val="22"/>
          <w:szCs w:val="22"/>
        </w:rPr>
      </w:pPr>
      <w:r w:rsidRPr="008C2BB0">
        <w:rPr>
          <w:rFonts w:ascii="Arial" w:hAnsi="Arial" w:cs="Arial"/>
          <w:bCs/>
          <w:sz w:val="22"/>
          <w:szCs w:val="22"/>
        </w:rPr>
        <w:t>Jednoznačně smíšené vyznění hodnocení efektivnosti tohoto nově přijatého opatření ze strany NKÚ převážně přes prizma počtu označení za nespolehlivého plátce (případně ukončených řízení), a to téměř bezprostředně od jeho zavedení a postupného náběhu, je předčasné.</w:t>
      </w:r>
    </w:p>
    <w:p w:rsidR="00966ADB" w:rsidRPr="008C2BB0" w:rsidRDefault="00966ADB" w:rsidP="00966ADB">
      <w:pPr>
        <w:spacing w:after="240"/>
        <w:jc w:val="both"/>
        <w:rPr>
          <w:rFonts w:ascii="Arial" w:hAnsi="Arial" w:cs="Arial"/>
          <w:bCs/>
          <w:sz w:val="22"/>
          <w:szCs w:val="22"/>
        </w:rPr>
      </w:pPr>
      <w:r w:rsidRPr="008C2BB0">
        <w:rPr>
          <w:rFonts w:ascii="Arial" w:hAnsi="Arial" w:cs="Arial"/>
          <w:bCs/>
          <w:sz w:val="22"/>
          <w:szCs w:val="22"/>
        </w:rPr>
        <w:t xml:space="preserve">Navíc jde o opatření, kterého uplatňování nabírá v poslední době na dynamice a stává se standardním – i když současně dobře zvažovaným - nástrojem správců daně, protože jde o nejzazší řešení kontumace daňového subjektu na trhu. </w:t>
      </w:r>
    </w:p>
    <w:p w:rsidR="00966ADB" w:rsidRPr="008C2BB0" w:rsidRDefault="00966ADB" w:rsidP="00966ADB">
      <w:pPr>
        <w:spacing w:after="240"/>
        <w:jc w:val="both"/>
        <w:rPr>
          <w:rFonts w:ascii="Arial" w:hAnsi="Arial" w:cs="Arial"/>
          <w:bCs/>
          <w:sz w:val="22"/>
          <w:szCs w:val="22"/>
        </w:rPr>
      </w:pPr>
      <w:r w:rsidRPr="008C2BB0">
        <w:rPr>
          <w:rFonts w:ascii="Arial" w:hAnsi="Arial" w:cs="Arial"/>
          <w:bCs/>
          <w:sz w:val="22"/>
          <w:szCs w:val="22"/>
        </w:rPr>
        <w:t xml:space="preserve">Nicméně GFŘ bude v zaměření své kontrolní činnosti vůči finančním úřadům klást důraz na zabezpečení efektivnosti v řízeních týkajících se označení daňového subjektu za nespolehlivého plátce. Aby se zmenšily rizika pro trh v případě, když se na něm nebo jeho segmentu prosadí nespolehliví plátci, bude zapotřebí ze strany finančních úřadů řízení čím dříve ukončovat a vykonávat postup svědomitě, aby nedocházelo zbytečně k podávání odvolání a tím prodlužování celého řízení, než se daňový subjekt označí za nespolehlivého plátce. </w:t>
      </w:r>
    </w:p>
    <w:p w:rsidR="00966ADB" w:rsidRPr="008C2BB0" w:rsidRDefault="00966ADB" w:rsidP="00966ADB">
      <w:pPr>
        <w:spacing w:after="240"/>
        <w:jc w:val="both"/>
        <w:rPr>
          <w:rFonts w:ascii="Arial" w:hAnsi="Arial" w:cs="Arial"/>
          <w:bCs/>
          <w:sz w:val="22"/>
          <w:szCs w:val="22"/>
          <w:u w:val="single"/>
        </w:rPr>
      </w:pPr>
      <w:r w:rsidRPr="008C2BB0">
        <w:rPr>
          <w:rFonts w:ascii="Arial" w:hAnsi="Arial" w:cs="Arial"/>
          <w:bCs/>
          <w:sz w:val="22"/>
          <w:szCs w:val="22"/>
          <w:u w:val="single"/>
        </w:rPr>
        <w:t>Odůvodnění:</w:t>
      </w:r>
    </w:p>
    <w:p w:rsidR="00966ADB" w:rsidRPr="008C2BB0" w:rsidRDefault="00966ADB" w:rsidP="00966ADB">
      <w:pPr>
        <w:spacing w:after="240"/>
        <w:jc w:val="both"/>
        <w:rPr>
          <w:rFonts w:ascii="Arial" w:hAnsi="Arial" w:cs="Arial"/>
          <w:bCs/>
          <w:sz w:val="22"/>
          <w:szCs w:val="22"/>
        </w:rPr>
      </w:pPr>
      <w:r w:rsidRPr="008C2BB0">
        <w:rPr>
          <w:rFonts w:ascii="Arial" w:hAnsi="Arial" w:cs="Arial"/>
          <w:bCs/>
          <w:sz w:val="22"/>
          <w:szCs w:val="22"/>
        </w:rPr>
        <w:t xml:space="preserve">Institut nespolehlivého plátce rozšířil soubor legislativních opatření zaměřených na boj s daňovými podvody od 1. ledna 2013. Efektivně na úrovni finančních úřadů začal působit od dubna toho roku, co způsobilo pomalejší náběh opatření. </w:t>
      </w:r>
    </w:p>
    <w:p w:rsidR="00966ADB" w:rsidRPr="008C2BB0" w:rsidRDefault="00966ADB" w:rsidP="00966ADB">
      <w:pPr>
        <w:spacing w:after="240"/>
        <w:jc w:val="both"/>
        <w:rPr>
          <w:rFonts w:ascii="Arial" w:hAnsi="Arial" w:cs="Arial"/>
          <w:bCs/>
          <w:sz w:val="22"/>
          <w:szCs w:val="22"/>
        </w:rPr>
      </w:pPr>
      <w:r w:rsidRPr="008C2BB0">
        <w:rPr>
          <w:rFonts w:ascii="Arial" w:hAnsi="Arial" w:cs="Arial"/>
          <w:bCs/>
          <w:sz w:val="22"/>
          <w:szCs w:val="22"/>
        </w:rPr>
        <w:t xml:space="preserve">Pravomoc určit podmínky pro uplatnění nového nástroje zákon nestanovil, tento úkol připadl GFŘ, které již 4. ledna 2013 vyspecifikovalo okolnosti, za kterých </w:t>
      </w:r>
      <w:r w:rsidR="008522A4">
        <w:rPr>
          <w:rFonts w:ascii="Arial" w:hAnsi="Arial" w:cs="Arial"/>
          <w:bCs/>
          <w:sz w:val="22"/>
          <w:szCs w:val="22"/>
        </w:rPr>
        <w:t>mají finanční úřady začít postupovat</w:t>
      </w:r>
      <w:r w:rsidRPr="008C2BB0">
        <w:rPr>
          <w:rFonts w:ascii="Arial" w:hAnsi="Arial" w:cs="Arial"/>
          <w:bCs/>
          <w:sz w:val="22"/>
          <w:szCs w:val="22"/>
        </w:rPr>
        <w:t xml:space="preserve"> podle nového institutu.</w:t>
      </w:r>
    </w:p>
    <w:p w:rsidR="00966ADB" w:rsidRPr="008C2BB0" w:rsidRDefault="00966ADB" w:rsidP="00966ADB">
      <w:pPr>
        <w:spacing w:after="240"/>
        <w:jc w:val="both"/>
        <w:rPr>
          <w:rFonts w:ascii="Arial" w:hAnsi="Arial" w:cs="Arial"/>
          <w:bCs/>
          <w:sz w:val="22"/>
          <w:szCs w:val="22"/>
        </w:rPr>
      </w:pPr>
      <w:r w:rsidRPr="008C2BB0">
        <w:rPr>
          <w:rFonts w:ascii="Arial" w:hAnsi="Arial" w:cs="Arial"/>
          <w:bCs/>
          <w:sz w:val="22"/>
          <w:szCs w:val="22"/>
        </w:rPr>
        <w:t xml:space="preserve">Přikládajíce váhu vyvolané zpětné vazbě byly kritéria GFŘ nutně postupně přizpůsobována na reálné podmínky hospodářského života tak, aby nepostihly zejména běžné plátce, kteří si své základní daňové povinnosti plní řádně.  </w:t>
      </w:r>
    </w:p>
    <w:p w:rsidR="00966ADB" w:rsidRPr="008C2BB0" w:rsidRDefault="00966ADB" w:rsidP="00966ADB">
      <w:pPr>
        <w:spacing w:after="240"/>
        <w:jc w:val="both"/>
        <w:rPr>
          <w:rFonts w:ascii="Arial" w:hAnsi="Arial" w:cs="Arial"/>
          <w:b/>
          <w:bCs/>
          <w:sz w:val="22"/>
          <w:szCs w:val="22"/>
        </w:rPr>
      </w:pPr>
      <w:r w:rsidRPr="008C2BB0">
        <w:rPr>
          <w:rFonts w:ascii="Arial" w:hAnsi="Arial" w:cs="Arial"/>
          <w:b/>
          <w:bCs/>
          <w:sz w:val="22"/>
          <w:szCs w:val="22"/>
        </w:rPr>
        <w:t>Nejdůležitější změna směrem k zpřísnění kritérií umožňujících započatí řízení pro určení nespolehlivého plátce byla přijata v srpnu 2014, když bylo zejména přijato rozhodnutí snížit od 1. října 2014 vysokou hranici 10 mil. Kč dvacetinásobně na 500 tis. Kč evidovaných nedoplatků na dani.</w:t>
      </w:r>
    </w:p>
    <w:p w:rsidR="00966ADB" w:rsidRPr="008C2BB0" w:rsidRDefault="00966ADB" w:rsidP="00966ADB">
      <w:pPr>
        <w:spacing w:after="240"/>
        <w:jc w:val="both"/>
        <w:rPr>
          <w:rFonts w:ascii="Arial" w:hAnsi="Arial" w:cs="Arial"/>
          <w:b/>
          <w:bCs/>
          <w:sz w:val="22"/>
          <w:szCs w:val="22"/>
        </w:rPr>
      </w:pPr>
      <w:r w:rsidRPr="008C2BB0">
        <w:rPr>
          <w:rFonts w:ascii="Arial" w:hAnsi="Arial" w:cs="Arial"/>
          <w:b/>
          <w:bCs/>
          <w:sz w:val="22"/>
          <w:szCs w:val="22"/>
        </w:rPr>
        <w:t>Od té doby narostl počet daňových subjektů označených za nespolehlivého plátce na 387, přičemž nejvíc jich na seznamu přibylo v posledních měsících. Podle počtu započatých nebo přípravných rozhodnutí se odhaduje, že jejich počet do konce roku 2015 vzroste dvojnásobně.</w:t>
      </w:r>
    </w:p>
    <w:p w:rsidR="00966ADB" w:rsidRPr="008C2BB0" w:rsidRDefault="00966ADB" w:rsidP="00966ADB">
      <w:pPr>
        <w:spacing w:after="240"/>
        <w:jc w:val="both"/>
        <w:rPr>
          <w:rFonts w:ascii="Arial" w:hAnsi="Arial" w:cs="Arial"/>
          <w:b/>
          <w:bCs/>
          <w:sz w:val="22"/>
          <w:szCs w:val="22"/>
        </w:rPr>
      </w:pPr>
      <w:r w:rsidRPr="008C2BB0">
        <w:rPr>
          <w:rFonts w:ascii="Arial" w:hAnsi="Arial" w:cs="Arial"/>
          <w:b/>
          <w:bCs/>
          <w:sz w:val="22"/>
          <w:szCs w:val="22"/>
        </w:rPr>
        <w:t>Význam veřejného označení daňového plátce za nespolehlivého spočívá v jeho významné preventivní funkci. Označení varuje poctivé daňové subjekty, aby neuvízly v řetězcích subjektů, které si notoricky neplní své daňové povinnosti, neboť odběratel zboží nebo služeb nespolehlivého plátce daně se automaticky stává ručitelem nezaplacené daně týkající se jejich obchodní transakce. Dosažení větší obezřetnosti u poctivých odběratelů vůči riziku jejich vtáhnutí do řetězců podvodného jednání než doposud lze jenom hodnotit nikoliv kvantifikovat.</w:t>
      </w:r>
    </w:p>
    <w:p w:rsidR="00966ADB" w:rsidRPr="008C2BB0" w:rsidRDefault="00966ADB" w:rsidP="00966ADB">
      <w:pPr>
        <w:spacing w:after="240"/>
        <w:jc w:val="both"/>
        <w:rPr>
          <w:rFonts w:ascii="Arial" w:hAnsi="Arial" w:cs="Arial"/>
          <w:b/>
          <w:bCs/>
          <w:i/>
          <w:sz w:val="22"/>
          <w:szCs w:val="22"/>
          <w:u w:val="single"/>
        </w:rPr>
      </w:pPr>
      <w:r w:rsidRPr="008C2BB0">
        <w:rPr>
          <w:rFonts w:ascii="Arial" w:hAnsi="Arial" w:cs="Arial"/>
          <w:b/>
          <w:bCs/>
          <w:sz w:val="22"/>
          <w:szCs w:val="22"/>
          <w:u w:val="single"/>
        </w:rPr>
        <w:lastRenderedPageBreak/>
        <w:t>Bod 4. Ručení příjemce zdanitelného plnění</w:t>
      </w:r>
    </w:p>
    <w:p w:rsidR="00966ADB" w:rsidRPr="008C2BB0" w:rsidRDefault="00966ADB" w:rsidP="00966ADB">
      <w:pPr>
        <w:spacing w:after="240"/>
        <w:jc w:val="both"/>
        <w:rPr>
          <w:rFonts w:ascii="Arial" w:hAnsi="Arial" w:cs="Arial"/>
          <w:b/>
          <w:bCs/>
          <w:sz w:val="22"/>
          <w:szCs w:val="22"/>
        </w:rPr>
      </w:pPr>
      <w:r w:rsidRPr="008C2BB0">
        <w:rPr>
          <w:rFonts w:ascii="Arial" w:hAnsi="Arial" w:cs="Arial"/>
          <w:b/>
          <w:bCs/>
          <w:sz w:val="22"/>
          <w:szCs w:val="22"/>
        </w:rPr>
        <w:t>Stručné shrnutí zjištění NKÚ:</w:t>
      </w:r>
    </w:p>
    <w:p w:rsidR="00966ADB" w:rsidRPr="008C2BB0" w:rsidRDefault="00966ADB" w:rsidP="00966ADB">
      <w:pPr>
        <w:spacing w:after="240"/>
        <w:jc w:val="both"/>
        <w:rPr>
          <w:rFonts w:ascii="Arial" w:hAnsi="Arial" w:cs="Arial"/>
          <w:bCs/>
          <w:sz w:val="22"/>
          <w:szCs w:val="22"/>
        </w:rPr>
      </w:pPr>
      <w:r w:rsidRPr="008C2BB0">
        <w:rPr>
          <w:rFonts w:ascii="Arial" w:hAnsi="Arial" w:cs="Arial"/>
          <w:bCs/>
          <w:sz w:val="22"/>
          <w:szCs w:val="22"/>
        </w:rPr>
        <w:t>NKÚ vytýká, že za období 2011 - 2013 nebyly naplněny odhady týkající se dopadů na veřejné příjmy uvedené v důvodové zprávě k zákonu č. 47/2011 Sb., s účinností od 1. dubna 2011 až do výše 1,5 mld. Kč po zavedení institutu ručení příjemce zdanitelného plnění. NKÚ dále uvádí, že tento institut finanční úřady využily pouze v 16 případech, ve kterých byla uhrazena daň ve výši 15,3 mil. Kč, a to zejména z důvodu náročnosti prokazování znalostního testu. Zároveň pro širší využití tohoto institutu v ostatních případech nevytvořilo GFŘ předpoklady, přičemž poukazuje, že jeho použití při platbě na jiný než zveřejněný bankovní účet dvakrát odložilo až do konce roku 2013.</w:t>
      </w:r>
    </w:p>
    <w:p w:rsidR="00966ADB" w:rsidRPr="008C2BB0" w:rsidRDefault="00966ADB" w:rsidP="00966ADB">
      <w:pPr>
        <w:spacing w:after="240"/>
        <w:jc w:val="both"/>
        <w:rPr>
          <w:rFonts w:ascii="Arial" w:hAnsi="Arial" w:cs="Arial"/>
          <w:b/>
          <w:bCs/>
          <w:sz w:val="22"/>
          <w:szCs w:val="22"/>
        </w:rPr>
      </w:pPr>
      <w:r w:rsidRPr="008C2BB0">
        <w:rPr>
          <w:rFonts w:ascii="Arial" w:hAnsi="Arial" w:cs="Arial"/>
          <w:b/>
          <w:bCs/>
          <w:sz w:val="22"/>
          <w:szCs w:val="22"/>
        </w:rPr>
        <w:t xml:space="preserve">Stanovisko: </w:t>
      </w:r>
    </w:p>
    <w:p w:rsidR="00966ADB" w:rsidRPr="008C2BB0" w:rsidRDefault="00966ADB" w:rsidP="00966ADB">
      <w:pPr>
        <w:spacing w:after="240"/>
        <w:jc w:val="both"/>
        <w:rPr>
          <w:rFonts w:ascii="Arial" w:hAnsi="Arial" w:cs="Arial"/>
          <w:b/>
          <w:bCs/>
          <w:sz w:val="22"/>
          <w:szCs w:val="22"/>
        </w:rPr>
      </w:pPr>
      <w:r w:rsidRPr="008C2BB0">
        <w:rPr>
          <w:rFonts w:ascii="Arial" w:hAnsi="Arial" w:cs="Arial"/>
          <w:b/>
          <w:bCs/>
          <w:sz w:val="22"/>
          <w:szCs w:val="22"/>
        </w:rPr>
        <w:t>Nedosažení předpokládaného dopadu zavedení institutu ručení příjemce zdanitelného plnění oproti těm odhadům, které uvedlo MF ČR v důvodové zprávě k novele zákona č. 235/2004 Sb., o DPH, nemusí deklarovat jeho nízkou účinnost</w:t>
      </w:r>
      <w:r w:rsidR="008522A4">
        <w:rPr>
          <w:rFonts w:ascii="Arial" w:hAnsi="Arial" w:cs="Arial"/>
          <w:b/>
          <w:bCs/>
          <w:sz w:val="22"/>
          <w:szCs w:val="22"/>
        </w:rPr>
        <w:t xml:space="preserve"> </w:t>
      </w:r>
      <w:r w:rsidRPr="008C2BB0">
        <w:rPr>
          <w:rFonts w:ascii="Arial" w:hAnsi="Arial" w:cs="Arial"/>
          <w:b/>
          <w:bCs/>
          <w:sz w:val="22"/>
          <w:szCs w:val="22"/>
        </w:rPr>
        <w:t>na vyšší výběr daně. Finanční správa využila možnosti uplatnit institut ručení příjemce zdanitelného plnění za daň vždy, když pro toto byly naplněny zákonné podmínky. Institut ručení za příjemce za zdanitelné plnění nelze hodnotit samostatně bez kontextu všech dalších opatření, které má finanční správa k dispozici. V praxi se jedná o podpůrné opatření, které nastupuje v okamžiku, kdy nebylo možné vybrat daň jinými zákonnými prostředky. Jeho aplikace je možná jen při porušení plátcem specificky stanovených podmínek, jejichž naplnění musí být správce daně vždy schopen bez pochybností prokázat. Správce daně je při aplikaci institutu ručení příjemce zdanitelného plnění vázán u znalostního testu limity stanovenými judikaturou Soudního dvora EU (dále jen „SDEU“), od které se nelze odchýlit. Finanční správa průběžně vyhodnocuje možnosti tohoto institutu, na druhé straně si je vědoma potřebou sledovat aktuální judikaturu SDEU, aby při uplatňování nástroje nezasahovala nepřiměřeně do práv daňových subjektů.</w:t>
      </w:r>
    </w:p>
    <w:p w:rsidR="00966ADB" w:rsidRPr="008C2BB0" w:rsidRDefault="00966ADB" w:rsidP="00966ADB">
      <w:pPr>
        <w:spacing w:after="240"/>
        <w:jc w:val="both"/>
        <w:rPr>
          <w:rFonts w:ascii="Arial" w:hAnsi="Arial" w:cs="Arial"/>
          <w:bCs/>
          <w:sz w:val="22"/>
          <w:szCs w:val="22"/>
          <w:u w:val="single"/>
        </w:rPr>
      </w:pPr>
      <w:r w:rsidRPr="008C2BB0">
        <w:rPr>
          <w:rFonts w:ascii="Arial" w:hAnsi="Arial" w:cs="Arial"/>
          <w:bCs/>
          <w:sz w:val="22"/>
          <w:szCs w:val="22"/>
          <w:u w:val="single"/>
        </w:rPr>
        <w:t>Odůvodnění:</w:t>
      </w:r>
    </w:p>
    <w:p w:rsidR="00966ADB" w:rsidRPr="008C2BB0" w:rsidRDefault="00966ADB" w:rsidP="00966ADB">
      <w:pPr>
        <w:spacing w:after="240"/>
        <w:jc w:val="both"/>
        <w:rPr>
          <w:rFonts w:ascii="Arial" w:hAnsi="Arial" w:cs="Arial"/>
          <w:bCs/>
          <w:sz w:val="22"/>
          <w:szCs w:val="22"/>
        </w:rPr>
      </w:pPr>
      <w:r w:rsidRPr="008C2BB0">
        <w:rPr>
          <w:rFonts w:ascii="Arial" w:hAnsi="Arial" w:cs="Arial"/>
          <w:bCs/>
          <w:sz w:val="22"/>
          <w:szCs w:val="22"/>
        </w:rPr>
        <w:t>NKÚ podotýká, že z důvodové zprávy k zákonu č. 47/2011 Sb., vyplývá předpokládaný fiskální přínos za sledované roky 2011 až 2013 1,5 mld. Kč. NKÚ své hodnocení opřelo pouze na výši přínosu ze skutečné aplikace tohoto institutu, kdy bylo u 14 prověřovaných případů z celkového počtu 16 uhrazeno z ručení příjemci cca 55 mil. Kč.</w:t>
      </w:r>
    </w:p>
    <w:p w:rsidR="00966ADB" w:rsidRPr="008C2BB0" w:rsidRDefault="00966ADB" w:rsidP="00966ADB">
      <w:pPr>
        <w:spacing w:after="240"/>
        <w:jc w:val="both"/>
        <w:rPr>
          <w:rFonts w:ascii="Arial" w:hAnsi="Arial" w:cs="Arial"/>
          <w:bCs/>
          <w:sz w:val="22"/>
          <w:szCs w:val="22"/>
        </w:rPr>
      </w:pPr>
      <w:r w:rsidRPr="008C2BB0">
        <w:rPr>
          <w:rFonts w:ascii="Arial" w:hAnsi="Arial" w:cs="Arial"/>
          <w:bCs/>
          <w:sz w:val="22"/>
          <w:szCs w:val="22"/>
        </w:rPr>
        <w:t>Již při zavádění tohoto institutu panovaly obavy z jeho využití, neboť prokázat „věděl a vědět mohl, že nebude daň uhrazena“, je obtížná záležitost. Tahle premise bezpečně funguje u propojených osob, což v minulosti bylo častým jevem u organizování daňových úniků. Fyzická osoba vytvořila několik právnických osob nebo s rodinnými příslušníky si předprodávali zboží v řetězci plátců s čerpáním nadměrného odpočtu, jenže tyto případy se nadále nevyskytují. Pro správce daně je prokázání naplnění vědomostního testu velice náročné a je zde vysoké riziko nesprávné aplikace judikatury SDEU a proto tam, kde jsou pro to splněny zákonné podmínky je jednodušší a jistější neuznání odpočtu daně, čímž se zároveň vyhne zdlouhavému procesu vymožení daně přes ručitelské výzvy.</w:t>
      </w:r>
    </w:p>
    <w:p w:rsidR="00966ADB" w:rsidRPr="008C2BB0" w:rsidRDefault="00966ADB" w:rsidP="00966ADB">
      <w:pPr>
        <w:spacing w:after="240"/>
        <w:jc w:val="both"/>
        <w:rPr>
          <w:rFonts w:ascii="Arial" w:hAnsi="Arial" w:cs="Arial"/>
          <w:bCs/>
          <w:sz w:val="22"/>
          <w:szCs w:val="22"/>
        </w:rPr>
      </w:pPr>
    </w:p>
    <w:p w:rsidR="00966ADB" w:rsidRPr="008C2BB0" w:rsidRDefault="00966ADB" w:rsidP="00966ADB">
      <w:pPr>
        <w:spacing w:after="240"/>
        <w:jc w:val="both"/>
        <w:rPr>
          <w:rFonts w:ascii="Arial" w:hAnsi="Arial" w:cs="Arial"/>
          <w:b/>
          <w:bCs/>
          <w:sz w:val="22"/>
          <w:szCs w:val="22"/>
          <w:u w:val="single"/>
        </w:rPr>
      </w:pPr>
    </w:p>
    <w:p w:rsidR="00966ADB" w:rsidRPr="008C2BB0" w:rsidRDefault="00966ADB" w:rsidP="00966ADB">
      <w:pPr>
        <w:spacing w:after="240"/>
        <w:jc w:val="both"/>
        <w:rPr>
          <w:rFonts w:ascii="Arial" w:hAnsi="Arial" w:cs="Arial"/>
          <w:b/>
          <w:bCs/>
          <w:sz w:val="22"/>
          <w:szCs w:val="22"/>
          <w:u w:val="single"/>
        </w:rPr>
      </w:pPr>
    </w:p>
    <w:p w:rsidR="00966ADB" w:rsidRPr="008C2BB0" w:rsidRDefault="00966ADB" w:rsidP="00966ADB">
      <w:pPr>
        <w:spacing w:after="240"/>
        <w:jc w:val="both"/>
        <w:rPr>
          <w:rFonts w:ascii="Arial" w:hAnsi="Arial" w:cs="Arial"/>
          <w:b/>
          <w:bCs/>
          <w:i/>
          <w:sz w:val="22"/>
          <w:szCs w:val="22"/>
          <w:u w:val="single"/>
        </w:rPr>
      </w:pPr>
      <w:r w:rsidRPr="008C2BB0">
        <w:rPr>
          <w:rFonts w:ascii="Arial" w:hAnsi="Arial" w:cs="Arial"/>
          <w:b/>
          <w:bCs/>
          <w:sz w:val="22"/>
          <w:szCs w:val="22"/>
          <w:u w:val="single"/>
        </w:rPr>
        <w:lastRenderedPageBreak/>
        <w:t xml:space="preserve">Bod 5. Zvláštní způsob zajištění daně  </w:t>
      </w:r>
    </w:p>
    <w:p w:rsidR="00966ADB" w:rsidRPr="008C2BB0" w:rsidRDefault="00966ADB" w:rsidP="00966ADB">
      <w:pPr>
        <w:spacing w:after="240"/>
        <w:jc w:val="both"/>
        <w:rPr>
          <w:rFonts w:ascii="Arial" w:hAnsi="Arial" w:cs="Arial"/>
          <w:b/>
          <w:bCs/>
          <w:sz w:val="22"/>
          <w:szCs w:val="22"/>
        </w:rPr>
      </w:pPr>
      <w:r w:rsidRPr="008C2BB0">
        <w:rPr>
          <w:rFonts w:ascii="Arial" w:hAnsi="Arial" w:cs="Arial"/>
          <w:b/>
          <w:bCs/>
          <w:sz w:val="22"/>
          <w:szCs w:val="22"/>
        </w:rPr>
        <w:t>Stručné shrnutí zjištění NKÚ:</w:t>
      </w:r>
    </w:p>
    <w:p w:rsidR="00966ADB" w:rsidRPr="008C2BB0" w:rsidRDefault="00966ADB" w:rsidP="00966ADB">
      <w:pPr>
        <w:spacing w:after="240"/>
        <w:jc w:val="both"/>
        <w:rPr>
          <w:rFonts w:ascii="Arial" w:hAnsi="Arial" w:cs="Arial"/>
          <w:bCs/>
          <w:i/>
          <w:sz w:val="22"/>
          <w:szCs w:val="22"/>
          <w:u w:val="single"/>
        </w:rPr>
      </w:pPr>
      <w:r w:rsidRPr="008C2BB0">
        <w:rPr>
          <w:rFonts w:ascii="Arial" w:hAnsi="Arial" w:cs="Arial"/>
          <w:bCs/>
          <w:sz w:val="22"/>
          <w:szCs w:val="22"/>
        </w:rPr>
        <w:t>NKÚ konstatovalo, že zvláštního způsobu zajištění daně využili příjemci v 2 153 případech a hodnota takto uhrazené daně činila 303,7 mil. Kč, což potvrzuje preventivní účinek zavedení ručení příjemce zdanitelného plnění za nezaplacenou daň. Daňové subjekty tím, že využily zvláštního způsobu zajištění daně, vyloučily případné dopady ručitelského závazku a riziko vzniku daňového úniku.</w:t>
      </w:r>
    </w:p>
    <w:p w:rsidR="00966ADB" w:rsidRPr="008C2BB0" w:rsidRDefault="00966ADB" w:rsidP="00966ADB">
      <w:pPr>
        <w:spacing w:after="240"/>
        <w:jc w:val="both"/>
        <w:rPr>
          <w:rFonts w:ascii="Arial" w:hAnsi="Arial" w:cs="Arial"/>
          <w:b/>
          <w:bCs/>
          <w:sz w:val="22"/>
          <w:szCs w:val="22"/>
        </w:rPr>
      </w:pPr>
      <w:r w:rsidRPr="008C2BB0">
        <w:rPr>
          <w:rFonts w:ascii="Arial" w:hAnsi="Arial" w:cs="Arial"/>
          <w:b/>
          <w:bCs/>
          <w:sz w:val="22"/>
          <w:szCs w:val="22"/>
        </w:rPr>
        <w:t>Stanovisko:</w:t>
      </w:r>
    </w:p>
    <w:p w:rsidR="00966ADB" w:rsidRPr="008C2BB0" w:rsidRDefault="00966ADB" w:rsidP="00966ADB">
      <w:pPr>
        <w:spacing w:after="240"/>
        <w:jc w:val="both"/>
        <w:rPr>
          <w:rFonts w:ascii="Arial" w:hAnsi="Arial" w:cs="Arial"/>
          <w:bCs/>
          <w:sz w:val="22"/>
          <w:szCs w:val="22"/>
        </w:rPr>
      </w:pPr>
      <w:r w:rsidRPr="008C2BB0">
        <w:rPr>
          <w:rFonts w:ascii="Arial" w:hAnsi="Arial" w:cs="Arial"/>
          <w:b/>
          <w:bCs/>
          <w:sz w:val="22"/>
          <w:szCs w:val="22"/>
        </w:rPr>
        <w:t>Při hodnocení efektivnosti každého nového nástroje vychází NKÚ především z porovnání kvantifikace odhadu jejich účinnosti, jak se promítly do důvodových zpráv k jednotlivým postupně přijímaným legislativním opatřením</w:t>
      </w:r>
      <w:r w:rsidRPr="008C2BB0">
        <w:rPr>
          <w:rFonts w:ascii="Arial" w:hAnsi="Arial" w:cs="Arial"/>
          <w:bCs/>
          <w:sz w:val="22"/>
          <w:szCs w:val="22"/>
        </w:rPr>
        <w:t xml:space="preserve">. Tento přístup nezohledňuje komplexnost nástrojů, které má k dispozici správce daně pro její vymožení a zejména nerespektuje důležitý aspekt správce daně ve vztahu k plátci daně, kterému daňové zákony poskytují alternativní řešení, aby na něho nedopadly negativní důsledky porušování daňové povinnosti ze strany jeho dodavatelů. Takovým je i využívání ustanovení </w:t>
      </w:r>
      <w:r w:rsidRPr="008C2BB0">
        <w:rPr>
          <w:rFonts w:ascii="Arial" w:hAnsi="Arial" w:cs="Arial"/>
          <w:b/>
          <w:bCs/>
          <w:sz w:val="22"/>
          <w:szCs w:val="22"/>
        </w:rPr>
        <w:t>§ 109a zákona o</w:t>
      </w:r>
      <w:r w:rsidR="008522A4">
        <w:rPr>
          <w:rFonts w:ascii="Arial" w:hAnsi="Arial" w:cs="Arial"/>
          <w:b/>
          <w:bCs/>
          <w:sz w:val="22"/>
          <w:szCs w:val="22"/>
        </w:rPr>
        <w:t> </w:t>
      </w:r>
      <w:r w:rsidRPr="008C2BB0">
        <w:rPr>
          <w:rFonts w:ascii="Arial" w:hAnsi="Arial" w:cs="Arial"/>
          <w:b/>
          <w:bCs/>
          <w:sz w:val="22"/>
          <w:szCs w:val="22"/>
        </w:rPr>
        <w:t>DPH</w:t>
      </w:r>
      <w:r w:rsidRPr="008C2BB0">
        <w:rPr>
          <w:rFonts w:ascii="Arial" w:hAnsi="Arial" w:cs="Arial"/>
          <w:bCs/>
          <w:sz w:val="22"/>
          <w:szCs w:val="22"/>
        </w:rPr>
        <w:t xml:space="preserve"> - </w:t>
      </w:r>
      <w:bookmarkStart w:id="1" w:name="par109a"/>
      <w:r w:rsidRPr="008C2BB0">
        <w:rPr>
          <w:rFonts w:ascii="Arial" w:hAnsi="Arial" w:cs="Arial"/>
          <w:b/>
          <w:bCs/>
          <w:sz w:val="22"/>
          <w:szCs w:val="22"/>
        </w:rPr>
        <w:t>Zvláštní způsob zajištění daně</w:t>
      </w:r>
      <w:bookmarkEnd w:id="1"/>
      <w:r w:rsidRPr="008C2BB0">
        <w:rPr>
          <w:rFonts w:ascii="Arial" w:hAnsi="Arial" w:cs="Arial"/>
          <w:bCs/>
          <w:sz w:val="22"/>
          <w:szCs w:val="22"/>
        </w:rPr>
        <w:t>, kdy příjemce zdanitelného plnění raději uhradí daň z transakce za poskytovatele, aniž by byl vyzván jako ručitel k uhrazení nesplněné daňové povinnosti svého dodavatele.</w:t>
      </w:r>
    </w:p>
    <w:p w:rsidR="00966ADB" w:rsidRPr="008C2BB0" w:rsidRDefault="00966ADB" w:rsidP="00966ADB">
      <w:pPr>
        <w:spacing w:after="240"/>
        <w:jc w:val="both"/>
        <w:rPr>
          <w:rFonts w:ascii="Arial" w:hAnsi="Arial" w:cs="Arial"/>
          <w:bCs/>
          <w:sz w:val="22"/>
          <w:szCs w:val="22"/>
        </w:rPr>
      </w:pPr>
      <w:r w:rsidRPr="008C2BB0">
        <w:rPr>
          <w:rFonts w:ascii="Arial" w:hAnsi="Arial" w:cs="Arial"/>
          <w:bCs/>
          <w:sz w:val="22"/>
          <w:szCs w:val="22"/>
        </w:rPr>
        <w:t xml:space="preserve">A jak taky NKÚ převzal do svého kontrolního protokolu, možnosti podle ustanovení § 109a zákona o DPH, bylo v kontrolovaném období využito v 2 153 případech, přičemž hodnota takto uhrazené daně činila 303,7 mil. Kč. </w:t>
      </w:r>
    </w:p>
    <w:p w:rsidR="00966ADB" w:rsidRPr="008C2BB0" w:rsidRDefault="00966ADB" w:rsidP="00966ADB">
      <w:pPr>
        <w:spacing w:after="240"/>
        <w:jc w:val="both"/>
        <w:rPr>
          <w:rFonts w:ascii="Arial" w:hAnsi="Arial" w:cs="Arial"/>
          <w:b/>
          <w:bCs/>
          <w:sz w:val="22"/>
          <w:szCs w:val="22"/>
        </w:rPr>
      </w:pPr>
      <w:r w:rsidRPr="008C2BB0">
        <w:rPr>
          <w:rFonts w:ascii="Arial" w:hAnsi="Arial" w:cs="Arial"/>
          <w:b/>
          <w:bCs/>
          <w:sz w:val="22"/>
          <w:szCs w:val="22"/>
        </w:rPr>
        <w:t>Jak již bylo konstatováno výše, zvláštní způsob zajištění daně podle ustanovení §</w:t>
      </w:r>
      <w:r w:rsidR="008522A4">
        <w:rPr>
          <w:rFonts w:ascii="Arial" w:hAnsi="Arial" w:cs="Arial"/>
          <w:b/>
          <w:bCs/>
          <w:sz w:val="22"/>
          <w:szCs w:val="22"/>
        </w:rPr>
        <w:t> </w:t>
      </w:r>
      <w:r w:rsidRPr="008C2BB0">
        <w:rPr>
          <w:rFonts w:ascii="Arial" w:hAnsi="Arial" w:cs="Arial"/>
          <w:b/>
          <w:bCs/>
          <w:sz w:val="22"/>
          <w:szCs w:val="22"/>
        </w:rPr>
        <w:t>109a ZDPH představuje pojistku pro plátce daně před rizikem uplatnění vůči němu institut ručení za daň v případě, kdy si není jistý kredibilitou svého dodavatele, ale přesto se uzavření obchodu nechce vzdát. Daný institut v praxi funguje dobře, je oceňován a proto využíván.</w:t>
      </w:r>
    </w:p>
    <w:p w:rsidR="00966ADB" w:rsidRPr="008C2BB0" w:rsidRDefault="00966ADB" w:rsidP="00966ADB">
      <w:pPr>
        <w:spacing w:after="240"/>
        <w:jc w:val="both"/>
        <w:rPr>
          <w:rFonts w:ascii="Arial" w:hAnsi="Arial" w:cs="Arial"/>
          <w:b/>
          <w:bCs/>
          <w:sz w:val="22"/>
          <w:szCs w:val="22"/>
          <w:u w:val="single"/>
        </w:rPr>
      </w:pPr>
      <w:r w:rsidRPr="008C2BB0">
        <w:rPr>
          <w:rFonts w:ascii="Arial" w:hAnsi="Arial" w:cs="Arial"/>
          <w:b/>
          <w:bCs/>
          <w:sz w:val="22"/>
          <w:szCs w:val="22"/>
          <w:u w:val="single"/>
        </w:rPr>
        <w:t>Bod 6. Zvláštní ustanovení o zajištění úhrady na nesplatnou nebo dosud nestanovenou daň</w:t>
      </w:r>
    </w:p>
    <w:p w:rsidR="00966ADB" w:rsidRPr="008C2BB0" w:rsidRDefault="00966ADB" w:rsidP="00966ADB">
      <w:pPr>
        <w:spacing w:after="240"/>
        <w:jc w:val="both"/>
        <w:rPr>
          <w:rFonts w:ascii="Arial" w:hAnsi="Arial" w:cs="Arial"/>
          <w:b/>
          <w:bCs/>
          <w:sz w:val="22"/>
          <w:szCs w:val="22"/>
        </w:rPr>
      </w:pPr>
      <w:r w:rsidRPr="008C2BB0">
        <w:rPr>
          <w:rFonts w:ascii="Arial" w:hAnsi="Arial" w:cs="Arial"/>
          <w:b/>
          <w:bCs/>
          <w:sz w:val="22"/>
          <w:szCs w:val="22"/>
        </w:rPr>
        <w:t>Stručné shrnutí zjištění NKÚ:</w:t>
      </w:r>
    </w:p>
    <w:p w:rsidR="00966ADB" w:rsidRPr="008C2BB0" w:rsidRDefault="00966ADB" w:rsidP="00966ADB">
      <w:pPr>
        <w:spacing w:after="240"/>
        <w:jc w:val="both"/>
        <w:rPr>
          <w:rFonts w:ascii="Arial" w:hAnsi="Arial" w:cs="Arial"/>
          <w:bCs/>
          <w:sz w:val="22"/>
          <w:szCs w:val="22"/>
        </w:rPr>
      </w:pPr>
      <w:r w:rsidRPr="008C2BB0">
        <w:rPr>
          <w:rFonts w:ascii="Arial" w:hAnsi="Arial" w:cs="Arial"/>
          <w:bCs/>
          <w:sz w:val="22"/>
          <w:szCs w:val="22"/>
        </w:rPr>
        <w:t>NKÚ konstatovalo, že zvláštní ustanovení o zajištění úhrady na nesplatnou nebo dosud nestanovenou daň formou zajišťovacího příkazu upraveného zákonem o DPH přineslo finanční správě efektivnější nástroj v boji proti daňovým únikům. Oproti zajišťovacímu příkazu obsaženému v daňovém řádu úprava v zákoně o DPH do značné míry odstraňuje riziko prodlení při vymáhání. Úspěšnost vymáhání byla o cca 13 % vyšší než u zajišťovacích příkazů vydaných podle daňového řádu.</w:t>
      </w:r>
    </w:p>
    <w:p w:rsidR="00966ADB" w:rsidRPr="008C2BB0" w:rsidRDefault="00966ADB" w:rsidP="00966ADB">
      <w:pPr>
        <w:spacing w:after="240"/>
        <w:jc w:val="both"/>
        <w:rPr>
          <w:rFonts w:ascii="Arial" w:hAnsi="Arial" w:cs="Arial"/>
          <w:b/>
          <w:bCs/>
          <w:sz w:val="22"/>
          <w:szCs w:val="22"/>
        </w:rPr>
      </w:pPr>
      <w:r w:rsidRPr="008C2BB0">
        <w:rPr>
          <w:rFonts w:ascii="Arial" w:hAnsi="Arial" w:cs="Arial"/>
          <w:b/>
          <w:bCs/>
          <w:sz w:val="22"/>
          <w:szCs w:val="22"/>
        </w:rPr>
        <w:t>Stanovisko:</w:t>
      </w:r>
    </w:p>
    <w:p w:rsidR="00966ADB" w:rsidRPr="008C2BB0" w:rsidRDefault="00966ADB" w:rsidP="00966ADB">
      <w:pPr>
        <w:spacing w:after="240"/>
        <w:jc w:val="both"/>
        <w:rPr>
          <w:rFonts w:ascii="Arial" w:hAnsi="Arial" w:cs="Arial"/>
          <w:bCs/>
          <w:sz w:val="22"/>
          <w:szCs w:val="22"/>
        </w:rPr>
      </w:pPr>
      <w:r w:rsidRPr="008C2BB0">
        <w:rPr>
          <w:rFonts w:ascii="Arial" w:hAnsi="Arial" w:cs="Arial"/>
          <w:bCs/>
          <w:sz w:val="22"/>
          <w:szCs w:val="22"/>
        </w:rPr>
        <w:t xml:space="preserve">NKÚ poukazuje zejména na vážné důvody, které vedli zákonodárce k přijetí tohoto nástroje k zajištění úhrady na nesplatnou nebo dosud nestanovenou DPH, kterým byla nutnost posílit akčnost finanční správy. Nový institut přenesený z daňového řádu také do zákona o DPH umožnil mnohem rychlejší postup zabezpečení daně, protože účinnost zajišťovacího příkazu vymezil momentem jeho vydání a ne jako je stanoveno v daňovém řádu momentem jeho doručení. Právě podmíněnost účinnosti zajišťovacího příkazu na jeho doručení způsobovalo správci daně značné problémy v prodlení nebo efektivnosti akce. </w:t>
      </w:r>
    </w:p>
    <w:p w:rsidR="00966ADB" w:rsidRPr="008C2BB0" w:rsidRDefault="00966ADB" w:rsidP="00966ADB">
      <w:pPr>
        <w:spacing w:after="240"/>
        <w:jc w:val="both"/>
        <w:rPr>
          <w:rFonts w:ascii="Arial" w:hAnsi="Arial" w:cs="Arial"/>
          <w:bCs/>
          <w:sz w:val="22"/>
          <w:szCs w:val="22"/>
        </w:rPr>
      </w:pPr>
    </w:p>
    <w:p w:rsidR="00966ADB" w:rsidRPr="008C2BB0" w:rsidRDefault="00966ADB" w:rsidP="00966ADB">
      <w:pPr>
        <w:spacing w:after="240"/>
        <w:jc w:val="both"/>
        <w:rPr>
          <w:rFonts w:ascii="Arial" w:hAnsi="Arial" w:cs="Arial"/>
          <w:b/>
          <w:bCs/>
          <w:sz w:val="22"/>
          <w:szCs w:val="22"/>
        </w:rPr>
      </w:pPr>
      <w:r w:rsidRPr="008C2BB0">
        <w:rPr>
          <w:rFonts w:ascii="Arial" w:hAnsi="Arial" w:cs="Arial"/>
          <w:b/>
          <w:bCs/>
          <w:sz w:val="22"/>
          <w:szCs w:val="22"/>
        </w:rPr>
        <w:t>Podle MF ČR a GFŘ je institut vydávání zajišťovacích příkazu ve smyslu ustanovení § 103 zákona o DPH jeden z nejúčinnějších nástrojů napomáhající správci daně preventivně zajistit výběr daně. Účinnost opatření byla posílena taktéž zavedením ručení za daň při platbách na nezveřejněné bankovní účty, jež působí k zamezení odklonu finančních prostředků z účtů, na kterých lze finanční prostředky zajistit.</w:t>
      </w:r>
    </w:p>
    <w:p w:rsidR="00966ADB" w:rsidRPr="008C2BB0" w:rsidRDefault="00966ADB" w:rsidP="00966ADB">
      <w:pPr>
        <w:spacing w:after="240"/>
        <w:jc w:val="both"/>
        <w:rPr>
          <w:rFonts w:ascii="Arial" w:hAnsi="Arial" w:cs="Arial"/>
          <w:b/>
          <w:bCs/>
          <w:sz w:val="22"/>
          <w:szCs w:val="22"/>
        </w:rPr>
      </w:pPr>
      <w:r w:rsidRPr="008C2BB0">
        <w:rPr>
          <w:rFonts w:ascii="Arial" w:hAnsi="Arial" w:cs="Arial"/>
          <w:b/>
          <w:bCs/>
          <w:sz w:val="22"/>
          <w:szCs w:val="22"/>
        </w:rPr>
        <w:t xml:space="preserve">Bod 7. </w:t>
      </w:r>
      <w:r w:rsidRPr="008C2BB0">
        <w:rPr>
          <w:rFonts w:ascii="Arial" w:hAnsi="Arial" w:cs="Arial"/>
          <w:b/>
          <w:bCs/>
          <w:sz w:val="22"/>
          <w:szCs w:val="22"/>
          <w:u w:val="single"/>
        </w:rPr>
        <w:t>Oprava výše daně u pohledávek za dlužníky v insolvenčním řízení</w:t>
      </w:r>
    </w:p>
    <w:p w:rsidR="00966ADB" w:rsidRPr="008C2BB0" w:rsidRDefault="00966ADB" w:rsidP="00966ADB">
      <w:pPr>
        <w:spacing w:after="240"/>
        <w:jc w:val="both"/>
        <w:rPr>
          <w:rFonts w:ascii="Arial" w:hAnsi="Arial" w:cs="Arial"/>
          <w:b/>
          <w:bCs/>
          <w:sz w:val="22"/>
          <w:szCs w:val="22"/>
        </w:rPr>
      </w:pPr>
      <w:r w:rsidRPr="008C2BB0">
        <w:rPr>
          <w:rFonts w:ascii="Arial" w:hAnsi="Arial" w:cs="Arial"/>
          <w:b/>
          <w:bCs/>
          <w:sz w:val="22"/>
          <w:szCs w:val="22"/>
        </w:rPr>
        <w:t>Stručné shrnutí zjištění NKÚ:</w:t>
      </w:r>
    </w:p>
    <w:p w:rsidR="00966ADB" w:rsidRPr="008C2BB0" w:rsidRDefault="00966ADB" w:rsidP="00966ADB">
      <w:pPr>
        <w:spacing w:after="240"/>
        <w:jc w:val="both"/>
        <w:rPr>
          <w:rFonts w:ascii="Arial" w:hAnsi="Arial" w:cs="Arial"/>
          <w:bCs/>
          <w:sz w:val="22"/>
          <w:szCs w:val="22"/>
        </w:rPr>
      </w:pPr>
      <w:r w:rsidRPr="008C2BB0">
        <w:rPr>
          <w:rFonts w:ascii="Arial" w:hAnsi="Arial" w:cs="Arial"/>
          <w:bCs/>
          <w:sz w:val="22"/>
          <w:szCs w:val="22"/>
        </w:rPr>
        <w:t xml:space="preserve">NKÚ prověřoval skutečný negativní dopad do veřejných rozpočtů z oprav výše daně u pohledávek za dlužníky v insolvenčním řízení. U opravy daně šlo původně o protikrizové opatření, které mělo mít podle důvodové zprávy k návrhu zákona v letech 2011 až 2013 negativní dopad na veřejné finance ve výši 5 mld. Kč (rok 2011 dopad 3 mld. Kč, rok 2012 dopad 1 mld. Kč a rok 2013 dopad 1 mld. Kč). </w:t>
      </w:r>
      <w:r w:rsidRPr="008C2BB0">
        <w:rPr>
          <w:rFonts w:ascii="Arial" w:hAnsi="Arial" w:cs="Arial"/>
          <w:bCs/>
          <w:sz w:val="22"/>
          <w:szCs w:val="22"/>
          <w:u w:val="single"/>
        </w:rPr>
        <w:t>NKÚ zjistil, že výška oprav daně na výstupu, které provedlo ve svých daňových přiznáních v kontrolovaném období 3 471 věřitelů, činila max. 1,2 mld. Kč</w:t>
      </w:r>
      <w:r w:rsidRPr="008C2BB0">
        <w:rPr>
          <w:rFonts w:ascii="Arial" w:hAnsi="Arial" w:cs="Arial"/>
          <w:bCs/>
          <w:sz w:val="22"/>
          <w:szCs w:val="22"/>
        </w:rPr>
        <w:t xml:space="preserve">. NKÚ také vytkl rozdíl mezi výší oprav uplatněných věřiteli a hodnotou oprav vykázanou dlužníky, které se pohyboval mezi 193 mil. Kč a 559 mil. Kč, přičemž do rozdílu se promítla nemožnost úplné kontroly následných oprav daně na vstupu ze strany dlužníků. </w:t>
      </w:r>
    </w:p>
    <w:p w:rsidR="00966ADB" w:rsidRPr="008C2BB0" w:rsidRDefault="00966ADB" w:rsidP="00966ADB">
      <w:pPr>
        <w:spacing w:after="240"/>
        <w:jc w:val="both"/>
        <w:rPr>
          <w:rFonts w:ascii="Arial" w:hAnsi="Arial" w:cs="Arial"/>
          <w:bCs/>
          <w:sz w:val="22"/>
          <w:szCs w:val="22"/>
        </w:rPr>
      </w:pPr>
      <w:r w:rsidRPr="008C2BB0">
        <w:rPr>
          <w:rFonts w:ascii="Arial" w:hAnsi="Arial" w:cs="Arial"/>
          <w:bCs/>
          <w:sz w:val="22"/>
          <w:szCs w:val="22"/>
        </w:rPr>
        <w:t xml:space="preserve">Za úvodní období aplikace opatření po vstupu zákona v účinnost k 1. 4. 2011 přešetřoval NKÚ také oprávněnost na opravu daně věřiteli u pohledávek vzniklých před účinností zákona. </w:t>
      </w:r>
    </w:p>
    <w:p w:rsidR="00966ADB" w:rsidRPr="008C2BB0" w:rsidRDefault="00966ADB" w:rsidP="00966ADB">
      <w:pPr>
        <w:spacing w:after="240"/>
        <w:jc w:val="both"/>
        <w:rPr>
          <w:rFonts w:ascii="Arial" w:hAnsi="Arial" w:cs="Arial"/>
          <w:bCs/>
          <w:sz w:val="22"/>
          <w:szCs w:val="22"/>
        </w:rPr>
      </w:pPr>
      <w:r w:rsidRPr="008C2BB0">
        <w:rPr>
          <w:rFonts w:ascii="Arial" w:hAnsi="Arial" w:cs="Arial"/>
          <w:bCs/>
          <w:sz w:val="22"/>
          <w:szCs w:val="22"/>
        </w:rPr>
        <w:t xml:space="preserve">NKÚ přitom konstatoval, že </w:t>
      </w:r>
      <w:r w:rsidRPr="008C2BB0">
        <w:rPr>
          <w:rFonts w:ascii="Arial" w:hAnsi="Arial" w:cs="Arial"/>
          <w:bCs/>
          <w:sz w:val="22"/>
          <w:szCs w:val="22"/>
          <w:u w:val="single"/>
        </w:rPr>
        <w:t>v rozporu se zákonem o DPH a ve světle rozsudku Nejvyššího správního soudu z roku 2013 došlo v roce 2011 neoprávněné k snížení daňové povinnosti věřiteli v konkurzním řízení min. o 144 mil. Kč</w:t>
      </w:r>
      <w:r w:rsidRPr="008C2BB0">
        <w:rPr>
          <w:rFonts w:ascii="Arial" w:hAnsi="Arial" w:cs="Arial"/>
          <w:bCs/>
          <w:sz w:val="22"/>
          <w:szCs w:val="22"/>
        </w:rPr>
        <w:t>.</w:t>
      </w:r>
    </w:p>
    <w:p w:rsidR="00966ADB" w:rsidRPr="008C2BB0" w:rsidRDefault="00966ADB" w:rsidP="00966ADB">
      <w:pPr>
        <w:spacing w:after="240"/>
        <w:jc w:val="both"/>
        <w:rPr>
          <w:rFonts w:ascii="Arial" w:hAnsi="Arial" w:cs="Arial"/>
          <w:bCs/>
          <w:sz w:val="22"/>
          <w:szCs w:val="22"/>
          <w:u w:val="single"/>
        </w:rPr>
      </w:pPr>
      <w:r w:rsidRPr="008C2BB0">
        <w:rPr>
          <w:rFonts w:ascii="Arial" w:hAnsi="Arial" w:cs="Arial"/>
          <w:bCs/>
          <w:sz w:val="22"/>
          <w:szCs w:val="22"/>
        </w:rPr>
        <w:t>Právní úprava oprav daně u pohledávek za dlužníky v insolvenčním řízení obsažená v § 44 zákona o DPH vyvolávala od nabytí účinnosti před 1. 4. 2011 řadu výkladových rozporů. Na jedné straně mezi právním výkladem a praxí finanční správy, a na druhé straně mezi praxí finanční správy a právním výkladem a postupy insolvenčních správců, případně soudů.</w:t>
      </w:r>
    </w:p>
    <w:p w:rsidR="00966ADB" w:rsidRPr="008C2BB0" w:rsidRDefault="00966ADB" w:rsidP="00966ADB">
      <w:pPr>
        <w:spacing w:after="240"/>
        <w:jc w:val="both"/>
        <w:rPr>
          <w:rFonts w:ascii="Arial" w:hAnsi="Arial" w:cs="Arial"/>
          <w:bCs/>
          <w:sz w:val="22"/>
          <w:szCs w:val="22"/>
        </w:rPr>
      </w:pPr>
      <w:r w:rsidRPr="008C2BB0">
        <w:rPr>
          <w:rFonts w:ascii="Arial" w:hAnsi="Arial" w:cs="Arial"/>
          <w:b/>
          <w:bCs/>
          <w:sz w:val="22"/>
          <w:szCs w:val="22"/>
        </w:rPr>
        <w:t>Stanovisko</w:t>
      </w:r>
      <w:r w:rsidRPr="008C2BB0">
        <w:rPr>
          <w:rFonts w:ascii="Arial" w:hAnsi="Arial" w:cs="Arial"/>
          <w:bCs/>
          <w:sz w:val="22"/>
          <w:szCs w:val="22"/>
        </w:rPr>
        <w:t>:</w:t>
      </w:r>
    </w:p>
    <w:p w:rsidR="00966ADB" w:rsidRPr="008C2BB0" w:rsidRDefault="00966ADB" w:rsidP="00966ADB">
      <w:pPr>
        <w:spacing w:after="240"/>
        <w:jc w:val="both"/>
        <w:rPr>
          <w:rFonts w:ascii="Arial" w:hAnsi="Arial" w:cs="Arial"/>
          <w:bCs/>
          <w:sz w:val="22"/>
          <w:szCs w:val="22"/>
        </w:rPr>
      </w:pPr>
      <w:r w:rsidRPr="008C2BB0">
        <w:rPr>
          <w:rFonts w:ascii="Arial" w:hAnsi="Arial" w:cs="Arial"/>
          <w:bCs/>
          <w:sz w:val="22"/>
          <w:szCs w:val="22"/>
        </w:rPr>
        <w:t xml:space="preserve">Předmětem kontrolní akce bylo jedno legislativní opatření, </w:t>
      </w:r>
      <w:r w:rsidRPr="008C2BB0">
        <w:rPr>
          <w:rFonts w:ascii="Arial" w:hAnsi="Arial" w:cs="Arial"/>
          <w:bCs/>
          <w:sz w:val="22"/>
          <w:szCs w:val="22"/>
          <w:u w:val="single"/>
        </w:rPr>
        <w:t>jenž se dokonce vymykalo opatřením na lepší výběr daní. Opatření umožňující opravu výše daně věřiteli u pohledávek za dlužníky v insolvenčním řízení již ze své podstaty mělo výnos DPH zhoršit, a ne zlepšit!</w:t>
      </w:r>
      <w:r w:rsidRPr="008C2BB0">
        <w:rPr>
          <w:rFonts w:ascii="Arial" w:hAnsi="Arial" w:cs="Arial"/>
          <w:bCs/>
          <w:sz w:val="22"/>
          <w:szCs w:val="22"/>
        </w:rPr>
        <w:t xml:space="preserve"> Šlo o opatření promítnuto do daňové legislativy v roce 2011, které vycházelo vstříc podnikatelským subjektům konfrontovaným s nárůstem pohledávek v insolvenčním řízení, a</w:t>
      </w:r>
      <w:r w:rsidR="008522A4">
        <w:rPr>
          <w:rFonts w:ascii="Arial" w:hAnsi="Arial" w:cs="Arial"/>
          <w:bCs/>
          <w:sz w:val="22"/>
          <w:szCs w:val="22"/>
        </w:rPr>
        <w:t> </w:t>
      </w:r>
      <w:r w:rsidRPr="008C2BB0">
        <w:rPr>
          <w:rFonts w:ascii="Arial" w:hAnsi="Arial" w:cs="Arial"/>
          <w:bCs/>
          <w:sz w:val="22"/>
          <w:szCs w:val="22"/>
        </w:rPr>
        <w:t xml:space="preserve">umožnil jim snížení již zaplacené DPH na výstupu, kterou jim dlužili dlužníci v insolvenčním řízení.  </w:t>
      </w:r>
    </w:p>
    <w:p w:rsidR="00966ADB" w:rsidRPr="008C2BB0" w:rsidRDefault="00966ADB" w:rsidP="00966ADB">
      <w:pPr>
        <w:spacing w:after="240"/>
        <w:jc w:val="both"/>
        <w:rPr>
          <w:rFonts w:ascii="Arial" w:hAnsi="Arial" w:cs="Arial"/>
          <w:bCs/>
          <w:sz w:val="22"/>
          <w:szCs w:val="22"/>
        </w:rPr>
      </w:pPr>
      <w:r w:rsidRPr="008C2BB0">
        <w:rPr>
          <w:rFonts w:ascii="Arial" w:hAnsi="Arial" w:cs="Arial"/>
          <w:bCs/>
          <w:sz w:val="22"/>
          <w:szCs w:val="22"/>
        </w:rPr>
        <w:t>Toto původně protikrizové opatření se promítlo do zákona o DPH novým ustanovením § 44 s účinností od 1. dubna 2011. Věřitelé mohli své uznané pohledávky za dlužníky v insolvenčním řízení, které vznikly 6 a více měsíců dřív, než o úpadku dlužníka rozhodl soud, opravit výši daně na výstupu se současným předložením finanční správě všech vystavovaných daňových dokladů s opravami a výpis z přehledu oprav pro daňové účely. Mělo se za to, že opravy na výstupu provedou identicky také dlužníci, jim však obdobná povinnost na předložení daňových dokladů týkajících se opravy daně obdobně jako věřitelům v zákoně uložená nebyla.</w:t>
      </w:r>
    </w:p>
    <w:p w:rsidR="00966ADB" w:rsidRPr="008C2BB0" w:rsidRDefault="00966ADB" w:rsidP="00966ADB">
      <w:pPr>
        <w:spacing w:after="240"/>
        <w:jc w:val="both"/>
        <w:rPr>
          <w:rFonts w:ascii="Arial" w:hAnsi="Arial" w:cs="Arial"/>
          <w:bCs/>
          <w:sz w:val="22"/>
          <w:szCs w:val="22"/>
        </w:rPr>
      </w:pPr>
      <w:r w:rsidRPr="008C2BB0">
        <w:rPr>
          <w:rFonts w:ascii="Arial" w:hAnsi="Arial" w:cs="Arial"/>
          <w:bCs/>
          <w:sz w:val="22"/>
          <w:szCs w:val="22"/>
        </w:rPr>
        <w:lastRenderedPageBreak/>
        <w:t xml:space="preserve">Na základě výkladu zákona MF ČR k § 44 zákona o DPH v </w:t>
      </w:r>
      <w:r w:rsidRPr="008C2BB0">
        <w:rPr>
          <w:rFonts w:ascii="Arial" w:hAnsi="Arial" w:cs="Arial"/>
          <w:bCs/>
          <w:sz w:val="22"/>
          <w:szCs w:val="22"/>
          <w:u w:val="single"/>
        </w:rPr>
        <w:t>Informaci</w:t>
      </w:r>
      <w:r w:rsidRPr="008C2BB0">
        <w:rPr>
          <w:rFonts w:ascii="Arial" w:hAnsi="Arial" w:cs="Arial"/>
          <w:bCs/>
          <w:sz w:val="22"/>
          <w:szCs w:val="22"/>
        </w:rPr>
        <w:t xml:space="preserve"> č. j. 118/31 878/2011 z 8. 3. 2011 vypracovalo GFŘ metodiku, ve které usměrnilo, že opatření se dotýká pohledávek, které vznikly před účinností novely zákona o DPH před 1. 4. 2011, tedy </w:t>
      </w:r>
      <w:r w:rsidRPr="008C2BB0">
        <w:rPr>
          <w:rFonts w:ascii="Arial" w:hAnsi="Arial" w:cs="Arial"/>
          <w:bCs/>
          <w:i/>
          <w:sz w:val="22"/>
          <w:szCs w:val="22"/>
        </w:rPr>
        <w:t>de facto</w:t>
      </w:r>
      <w:r w:rsidRPr="008C2BB0">
        <w:rPr>
          <w:rFonts w:ascii="Arial" w:hAnsi="Arial" w:cs="Arial"/>
          <w:bCs/>
          <w:sz w:val="22"/>
          <w:szCs w:val="22"/>
        </w:rPr>
        <w:t xml:space="preserve"> retroaktivně.</w:t>
      </w:r>
    </w:p>
    <w:p w:rsidR="00966ADB" w:rsidRPr="008C2BB0" w:rsidRDefault="00966ADB" w:rsidP="00966ADB">
      <w:pPr>
        <w:spacing w:after="240"/>
        <w:jc w:val="both"/>
        <w:rPr>
          <w:rFonts w:ascii="Arial" w:hAnsi="Arial" w:cs="Arial"/>
          <w:bCs/>
          <w:sz w:val="22"/>
          <w:szCs w:val="22"/>
        </w:rPr>
      </w:pPr>
      <w:r w:rsidRPr="008C2BB0">
        <w:rPr>
          <w:rFonts w:ascii="Arial" w:hAnsi="Arial" w:cs="Arial"/>
          <w:bCs/>
          <w:sz w:val="22"/>
          <w:szCs w:val="22"/>
        </w:rPr>
        <w:t>MF ČR při zavedení opatření vycházelo z předpokladu, že očekávané negativní dopady na veřejné finance se zmírní tím, že opravenou DPH na vstupu u dlužníků v insolvenci finanční správa bude moci následně uplatňovat v konkurzním řízení. Avšak s odvoláním se na spornost výkladu lhůty pro pohledávky vzniklé před 1. 4. 2011 správcové konkurzní podstaty odmítali uznat přiznání nároků z pohledávek týkajících se období, kdy zákon ještě nebyl účinný, přičemž se zamítavým stanoviskem konkurzních správců se ve své výkladové praxi ztotožnily také soudy, které žaloby ze strany finanční správy řešily.</w:t>
      </w:r>
    </w:p>
    <w:p w:rsidR="00966ADB" w:rsidRPr="008C2BB0" w:rsidRDefault="00966ADB" w:rsidP="00966ADB">
      <w:pPr>
        <w:spacing w:after="240"/>
        <w:jc w:val="both"/>
        <w:rPr>
          <w:rFonts w:ascii="Arial" w:hAnsi="Arial" w:cs="Arial"/>
          <w:bCs/>
          <w:sz w:val="22"/>
          <w:szCs w:val="22"/>
        </w:rPr>
      </w:pPr>
      <w:r w:rsidRPr="008C2BB0">
        <w:rPr>
          <w:rFonts w:ascii="Arial" w:hAnsi="Arial" w:cs="Arial"/>
          <w:bCs/>
          <w:sz w:val="22"/>
          <w:szCs w:val="22"/>
        </w:rPr>
        <w:t xml:space="preserve">Se závažným právním výkladem přišel rozsudek Nejvyššího správního soudu čj. 9Afs 69/2012-47 z 11. 4. 2013 (podání s datem v roce 2012), ve kterém NSS rozhodl, že na pohledávky před 1. 4. 2011 se mělo přihlížet podle tehdejší platné legislativy, která však tehdy neexistovala. Neoprávněné snížení daňové povinnosti ze strany věřitelů ve výši min. 144 mil. Kč je pak součet, který NKÚ provedl z oprav ve zdaňovacím období 4. - 9. / 2011 (u plátců daně </w:t>
      </w:r>
      <w:proofErr w:type="gramStart"/>
      <w:r w:rsidRPr="008C2BB0">
        <w:rPr>
          <w:rFonts w:ascii="Arial" w:hAnsi="Arial" w:cs="Arial"/>
          <w:bCs/>
          <w:sz w:val="22"/>
          <w:szCs w:val="22"/>
        </w:rPr>
        <w:t>měsíčně),  resp.</w:t>
      </w:r>
      <w:proofErr w:type="gramEnd"/>
      <w:r w:rsidRPr="008C2BB0">
        <w:rPr>
          <w:rFonts w:ascii="Arial" w:hAnsi="Arial" w:cs="Arial"/>
          <w:bCs/>
          <w:sz w:val="22"/>
          <w:szCs w:val="22"/>
        </w:rPr>
        <w:t xml:space="preserve"> za 2. a 3. čtvrtletí 2011 (u plátců daně čtvrtletně).</w:t>
      </w:r>
    </w:p>
    <w:p w:rsidR="00966ADB" w:rsidRPr="008C2BB0" w:rsidRDefault="00966ADB" w:rsidP="00966ADB">
      <w:pPr>
        <w:spacing w:after="240"/>
        <w:jc w:val="both"/>
        <w:rPr>
          <w:rFonts w:ascii="Arial" w:hAnsi="Arial" w:cs="Arial"/>
          <w:b/>
          <w:bCs/>
          <w:sz w:val="22"/>
          <w:szCs w:val="22"/>
        </w:rPr>
      </w:pPr>
      <w:r w:rsidRPr="008C2BB0">
        <w:rPr>
          <w:rFonts w:ascii="Arial" w:hAnsi="Arial" w:cs="Arial"/>
          <w:b/>
          <w:bCs/>
          <w:sz w:val="22"/>
          <w:szCs w:val="22"/>
        </w:rPr>
        <w:t>Opatření:</w:t>
      </w:r>
    </w:p>
    <w:p w:rsidR="00966ADB" w:rsidRPr="008C2BB0" w:rsidRDefault="00966ADB" w:rsidP="00966ADB">
      <w:pPr>
        <w:spacing w:after="240"/>
        <w:jc w:val="both"/>
        <w:rPr>
          <w:rFonts w:ascii="Arial" w:hAnsi="Arial" w:cs="Arial"/>
          <w:b/>
          <w:bCs/>
          <w:sz w:val="22"/>
          <w:szCs w:val="22"/>
        </w:rPr>
      </w:pPr>
      <w:r w:rsidRPr="008C2BB0">
        <w:rPr>
          <w:rFonts w:ascii="Arial" w:hAnsi="Arial" w:cs="Arial"/>
          <w:b/>
          <w:bCs/>
          <w:sz w:val="22"/>
          <w:szCs w:val="22"/>
        </w:rPr>
        <w:t xml:space="preserve">Nakolik bylo opatření týkající se opravy výše daně za dlužníky v insolvenčním řízení podle ustanovení § 44 zákona o DPH přijímáno </w:t>
      </w:r>
      <w:r w:rsidRPr="008C2BB0">
        <w:rPr>
          <w:rFonts w:ascii="Arial" w:hAnsi="Arial" w:cs="Arial"/>
          <w:b/>
          <w:bCs/>
          <w:sz w:val="22"/>
          <w:szCs w:val="22"/>
          <w:u w:val="single"/>
        </w:rPr>
        <w:t>jako protikrizové opatření</w:t>
      </w:r>
      <w:r w:rsidRPr="008C2BB0">
        <w:rPr>
          <w:rFonts w:ascii="Arial" w:hAnsi="Arial" w:cs="Arial"/>
          <w:b/>
          <w:bCs/>
          <w:sz w:val="22"/>
          <w:szCs w:val="22"/>
        </w:rPr>
        <w:t>, a délka jeho uplatňování byla předpokládaná na tři roky od roku 2011 do roku 2013, ve smyslu zjištění NKÚ posoudí MF ČR důvody pro další uplatňování tohoto režimu, a případně zohlední v aktualizaci plánu legislativních prací. Pokud jde o individuální nedostatky vztahující se k vyměření daně, budou odstraněny v rámci metodické činnosti GFŘ.</w:t>
      </w:r>
    </w:p>
    <w:p w:rsidR="00966ADB" w:rsidRPr="008C2BB0" w:rsidRDefault="00966ADB" w:rsidP="00966ADB">
      <w:pPr>
        <w:spacing w:after="240"/>
        <w:jc w:val="both"/>
        <w:rPr>
          <w:rFonts w:ascii="Arial" w:hAnsi="Arial" w:cs="Arial"/>
          <w:b/>
          <w:bCs/>
          <w:sz w:val="22"/>
          <w:szCs w:val="22"/>
        </w:rPr>
      </w:pPr>
      <w:r w:rsidRPr="008C2BB0">
        <w:rPr>
          <w:rFonts w:ascii="Arial" w:hAnsi="Arial" w:cs="Arial"/>
          <w:b/>
          <w:bCs/>
          <w:sz w:val="22"/>
          <w:szCs w:val="22"/>
        </w:rPr>
        <w:t>Odůvodnění k rozdílnému vykazování opravené daně</w:t>
      </w:r>
      <w:r w:rsidRPr="008C2BB0">
        <w:rPr>
          <w:rFonts w:ascii="Arial" w:hAnsi="Arial" w:cs="Arial"/>
          <w:bCs/>
          <w:sz w:val="22"/>
          <w:szCs w:val="22"/>
        </w:rPr>
        <w:t>:</w:t>
      </w:r>
    </w:p>
    <w:p w:rsidR="00966ADB" w:rsidRPr="008C2BB0" w:rsidRDefault="00966ADB" w:rsidP="00966ADB">
      <w:pPr>
        <w:spacing w:after="240"/>
        <w:jc w:val="both"/>
        <w:rPr>
          <w:rFonts w:ascii="Arial" w:hAnsi="Arial" w:cs="Arial"/>
          <w:bCs/>
          <w:sz w:val="22"/>
          <w:szCs w:val="22"/>
        </w:rPr>
      </w:pPr>
      <w:r w:rsidRPr="008C2BB0">
        <w:rPr>
          <w:rFonts w:ascii="Arial" w:hAnsi="Arial" w:cs="Arial"/>
          <w:bCs/>
          <w:sz w:val="22"/>
          <w:szCs w:val="22"/>
        </w:rPr>
        <w:t>Z daňových přiznání NKÚ konstatuje, že věřitelé snížili za období v letech 2011 až 2014 daň na výstupu o částku 564 mil. Kč, což neodpovídá predikované výši uvedené v důvodové zprávě, ale zejména je to o 193 mil. Kč více než provedli opravu odpočtu za stejné období dlužníci.</w:t>
      </w:r>
    </w:p>
    <w:p w:rsidR="00966ADB" w:rsidRPr="008C2BB0" w:rsidRDefault="00966ADB" w:rsidP="00966ADB">
      <w:pPr>
        <w:spacing w:after="240"/>
        <w:jc w:val="both"/>
        <w:rPr>
          <w:rFonts w:ascii="Arial" w:hAnsi="Arial" w:cs="Arial"/>
          <w:bCs/>
          <w:sz w:val="22"/>
          <w:szCs w:val="22"/>
        </w:rPr>
      </w:pPr>
      <w:r w:rsidRPr="008C2BB0">
        <w:rPr>
          <w:rFonts w:ascii="Arial" w:hAnsi="Arial" w:cs="Arial"/>
          <w:bCs/>
          <w:sz w:val="22"/>
          <w:szCs w:val="22"/>
        </w:rPr>
        <w:t>NKÚ vidí dva důvody tohoto rozdílu, který nemůže nastat, pokud by všichni plátci postupovali v souladu se zákonem.</w:t>
      </w:r>
    </w:p>
    <w:p w:rsidR="00966ADB" w:rsidRPr="008C2BB0" w:rsidRDefault="00966ADB" w:rsidP="00966ADB">
      <w:pPr>
        <w:numPr>
          <w:ilvl w:val="0"/>
          <w:numId w:val="30"/>
        </w:numPr>
        <w:spacing w:after="240"/>
        <w:jc w:val="both"/>
        <w:rPr>
          <w:rFonts w:ascii="Arial" w:hAnsi="Arial" w:cs="Arial"/>
          <w:bCs/>
          <w:sz w:val="22"/>
          <w:szCs w:val="22"/>
        </w:rPr>
      </w:pPr>
      <w:r w:rsidRPr="008C2BB0">
        <w:rPr>
          <w:rFonts w:ascii="Arial" w:hAnsi="Arial" w:cs="Arial"/>
          <w:bCs/>
          <w:sz w:val="22"/>
          <w:szCs w:val="22"/>
        </w:rPr>
        <w:t>plátci vykazovali opravy na řádku 33 a 34 nejednotně.</w:t>
      </w:r>
    </w:p>
    <w:p w:rsidR="00966ADB" w:rsidRPr="008C2BB0" w:rsidRDefault="00966ADB" w:rsidP="00966ADB">
      <w:pPr>
        <w:numPr>
          <w:ilvl w:val="0"/>
          <w:numId w:val="30"/>
        </w:numPr>
        <w:spacing w:after="240"/>
        <w:jc w:val="both"/>
        <w:rPr>
          <w:rFonts w:ascii="Arial" w:hAnsi="Arial" w:cs="Arial"/>
          <w:bCs/>
          <w:sz w:val="22"/>
          <w:szCs w:val="22"/>
        </w:rPr>
      </w:pPr>
      <w:r w:rsidRPr="008C2BB0">
        <w:rPr>
          <w:rFonts w:ascii="Arial" w:hAnsi="Arial" w:cs="Arial"/>
          <w:bCs/>
          <w:sz w:val="22"/>
          <w:szCs w:val="22"/>
        </w:rPr>
        <w:t>pokyny pro vyplňování daňových přiznání neobsahovaly jednoznačný návod pro vyplňování řádků 33 a 34, takže plátci výši oprav uváděli rozdílně buď jako plusové nebo mínusové hodnoty. Na kontrolním vzorku 76 plátců byly zjištěny chybně uvedené rozdíly ve výši cca 12,7 mil. Kč. NKÚ vytýká finanční správě, že nereagovala a okamžitě neodstranila problém.</w:t>
      </w:r>
    </w:p>
    <w:p w:rsidR="00966ADB" w:rsidRPr="008C2BB0" w:rsidRDefault="00966ADB" w:rsidP="00966ADB">
      <w:pPr>
        <w:spacing w:after="240"/>
        <w:jc w:val="both"/>
        <w:rPr>
          <w:rFonts w:ascii="Arial" w:hAnsi="Arial" w:cs="Arial"/>
          <w:bCs/>
          <w:sz w:val="22"/>
          <w:szCs w:val="22"/>
        </w:rPr>
      </w:pPr>
      <w:r w:rsidRPr="008C2BB0">
        <w:rPr>
          <w:rFonts w:ascii="Arial" w:hAnsi="Arial" w:cs="Arial"/>
          <w:bCs/>
          <w:sz w:val="22"/>
          <w:szCs w:val="22"/>
        </w:rPr>
        <w:t>Finanční správa zásadně nesouhlasí s kontrolním závěrem, že řádky daňového přiznání nikdy nebyly koncipovány jako řádky pro statistické účely. Z praxe finanční správy je zřejmé, že se jedná o informativní řádky, které měly upozornit správce daně na skutečnost, že plátce provedl opravu podle § 44 zákona o DPH, a správce daně měl případně konat, pokud výše opravy jevila významné hodnoty.</w:t>
      </w:r>
    </w:p>
    <w:p w:rsidR="00966ADB" w:rsidRPr="008C2BB0" w:rsidRDefault="00966ADB" w:rsidP="00966ADB">
      <w:pPr>
        <w:spacing w:after="240"/>
        <w:jc w:val="both"/>
        <w:rPr>
          <w:rFonts w:ascii="Arial" w:hAnsi="Arial" w:cs="Arial"/>
          <w:bCs/>
          <w:sz w:val="22"/>
          <w:szCs w:val="22"/>
        </w:rPr>
      </w:pPr>
      <w:r w:rsidRPr="008C2BB0">
        <w:rPr>
          <w:rFonts w:ascii="Arial" w:hAnsi="Arial" w:cs="Arial"/>
          <w:bCs/>
          <w:sz w:val="22"/>
          <w:szCs w:val="22"/>
        </w:rPr>
        <w:t xml:space="preserve">Zjištěný rozdíl NKÚ byl pak způsoben zejména tím, že insolvenční správci neakceptovali opravy výše daně u pohledávek před 1. 4. 2011. Navíc s odvoláním se na výkladovou praxi </w:t>
      </w:r>
      <w:r w:rsidRPr="008C2BB0">
        <w:rPr>
          <w:rFonts w:ascii="Arial" w:hAnsi="Arial" w:cs="Arial"/>
          <w:bCs/>
          <w:sz w:val="22"/>
          <w:szCs w:val="22"/>
        </w:rPr>
        <w:lastRenderedPageBreak/>
        <w:t xml:space="preserve">soudů insolvenční správci neakceptují opravu daně jako </w:t>
      </w:r>
      <w:proofErr w:type="spellStart"/>
      <w:r w:rsidRPr="008C2BB0">
        <w:rPr>
          <w:rFonts w:ascii="Arial" w:hAnsi="Arial" w:cs="Arial"/>
          <w:bCs/>
          <w:sz w:val="22"/>
          <w:szCs w:val="22"/>
        </w:rPr>
        <w:t>podstatovou</w:t>
      </w:r>
      <w:proofErr w:type="spellEnd"/>
      <w:r w:rsidRPr="008C2BB0">
        <w:rPr>
          <w:rFonts w:ascii="Arial" w:hAnsi="Arial" w:cs="Arial"/>
          <w:bCs/>
          <w:sz w:val="22"/>
          <w:szCs w:val="22"/>
        </w:rPr>
        <w:t xml:space="preserve"> pohledávku v konkurzním řízení, a to ani v případě, kdy to zákon výslovně uvádí.</w:t>
      </w:r>
    </w:p>
    <w:p w:rsidR="00966ADB" w:rsidRPr="008C2BB0" w:rsidRDefault="00966ADB" w:rsidP="00966ADB">
      <w:pPr>
        <w:spacing w:after="240"/>
        <w:jc w:val="both"/>
        <w:rPr>
          <w:rFonts w:ascii="Arial" w:hAnsi="Arial" w:cs="Arial"/>
          <w:bCs/>
          <w:sz w:val="22"/>
          <w:szCs w:val="22"/>
        </w:rPr>
      </w:pPr>
      <w:r w:rsidRPr="008C2BB0">
        <w:rPr>
          <w:rFonts w:ascii="Arial" w:hAnsi="Arial" w:cs="Arial"/>
          <w:bCs/>
          <w:sz w:val="22"/>
          <w:szCs w:val="22"/>
        </w:rPr>
        <w:t>Správní praxe, kterou GFŘ sdělilo veřejnosti na základě Informace MF ČR k uvedení opatření v účinnost, byla v souladu s deklarovanými cíli a odpovídala záměru navrhovatele zákona, za jakých podmínek zavedení tohoto institutu do zákona učinil, neboť byla ve prospěch věřitele.</w:t>
      </w:r>
    </w:p>
    <w:p w:rsidR="00966ADB" w:rsidRPr="008C2BB0" w:rsidRDefault="00966ADB" w:rsidP="00966ADB">
      <w:pPr>
        <w:spacing w:after="240"/>
        <w:jc w:val="both"/>
        <w:rPr>
          <w:rFonts w:ascii="Arial" w:hAnsi="Arial" w:cs="Arial"/>
          <w:bCs/>
          <w:sz w:val="22"/>
          <w:szCs w:val="22"/>
        </w:rPr>
      </w:pPr>
      <w:r w:rsidRPr="008C2BB0">
        <w:rPr>
          <w:rFonts w:ascii="Arial" w:hAnsi="Arial" w:cs="Arial"/>
          <w:bCs/>
          <w:sz w:val="22"/>
          <w:szCs w:val="22"/>
        </w:rPr>
        <w:t>MF ČR a GFŘ společně posoudí individuální pochybení správců daně při vyměřování a uplatňování daného režimu a tuto skutečnost zohlední v rámci následné intenzivní metodické činnosti.</w:t>
      </w:r>
      <w:r w:rsidRPr="008C2BB0" w:rsidDel="00717A2D">
        <w:rPr>
          <w:rFonts w:ascii="Arial" w:hAnsi="Arial" w:cs="Arial"/>
          <w:bCs/>
          <w:sz w:val="22"/>
          <w:szCs w:val="22"/>
        </w:rPr>
        <w:t xml:space="preserve"> </w:t>
      </w:r>
    </w:p>
    <w:p w:rsidR="00966ADB" w:rsidRPr="008C2BB0" w:rsidRDefault="00966ADB" w:rsidP="00966ADB">
      <w:pPr>
        <w:spacing w:after="240"/>
        <w:jc w:val="both"/>
        <w:rPr>
          <w:rFonts w:ascii="Arial" w:hAnsi="Arial" w:cs="Arial"/>
          <w:b/>
          <w:bCs/>
          <w:i/>
          <w:sz w:val="22"/>
          <w:szCs w:val="22"/>
          <w:u w:val="single"/>
        </w:rPr>
      </w:pPr>
      <w:r w:rsidRPr="008C2BB0">
        <w:rPr>
          <w:rFonts w:ascii="Arial" w:hAnsi="Arial" w:cs="Arial"/>
          <w:b/>
          <w:bCs/>
          <w:sz w:val="22"/>
          <w:szCs w:val="22"/>
          <w:u w:val="single"/>
        </w:rPr>
        <w:t>Bod 8. Mezera DPH</w:t>
      </w:r>
    </w:p>
    <w:p w:rsidR="00966ADB" w:rsidRPr="008C2BB0" w:rsidRDefault="00966ADB" w:rsidP="00966ADB">
      <w:pPr>
        <w:spacing w:after="240"/>
        <w:jc w:val="both"/>
        <w:rPr>
          <w:rFonts w:ascii="Arial" w:hAnsi="Arial" w:cs="Arial"/>
          <w:b/>
          <w:bCs/>
          <w:sz w:val="22"/>
          <w:szCs w:val="22"/>
        </w:rPr>
      </w:pPr>
      <w:r w:rsidRPr="008C2BB0">
        <w:rPr>
          <w:rFonts w:ascii="Arial" w:hAnsi="Arial" w:cs="Arial"/>
          <w:b/>
          <w:bCs/>
          <w:sz w:val="22"/>
          <w:szCs w:val="22"/>
        </w:rPr>
        <w:t xml:space="preserve">Stručné shrnutí zjištění NKÚ: </w:t>
      </w:r>
    </w:p>
    <w:p w:rsidR="00966ADB" w:rsidRPr="008C2BB0" w:rsidRDefault="00966ADB" w:rsidP="00966ADB">
      <w:pPr>
        <w:spacing w:after="240"/>
        <w:jc w:val="both"/>
        <w:rPr>
          <w:rFonts w:ascii="Arial" w:hAnsi="Arial" w:cs="Arial"/>
          <w:bCs/>
          <w:sz w:val="22"/>
          <w:szCs w:val="22"/>
        </w:rPr>
      </w:pPr>
      <w:r w:rsidRPr="008C2BB0">
        <w:rPr>
          <w:rFonts w:ascii="Arial" w:hAnsi="Arial" w:cs="Arial"/>
          <w:bCs/>
          <w:sz w:val="22"/>
          <w:szCs w:val="22"/>
        </w:rPr>
        <w:t>NKÚ uvádí, že účinnost nových institutů zaměřených na boj s daňovými úniky se v roce 2013 neprojevila do takové míry, aby se snížila mezera DPH. Dále uvádí, že účinnost výběru DPH je v porovnání s jinými zeměmi EU na nízké úrovni, což potvrzuje mezera DPH, která se dle výpočtů NKÚ pohybovala kolem 26 % (rok 2013), zatímco průměr v Evropské unii činil 18 %.</w:t>
      </w:r>
    </w:p>
    <w:p w:rsidR="00966ADB" w:rsidRPr="008C2BB0" w:rsidRDefault="00966ADB" w:rsidP="00966ADB">
      <w:pPr>
        <w:spacing w:after="240"/>
        <w:jc w:val="both"/>
        <w:rPr>
          <w:rFonts w:ascii="Arial" w:hAnsi="Arial" w:cs="Arial"/>
          <w:bCs/>
          <w:sz w:val="22"/>
          <w:szCs w:val="22"/>
        </w:rPr>
      </w:pPr>
      <w:r w:rsidRPr="008C2BB0">
        <w:rPr>
          <w:rFonts w:ascii="Arial" w:hAnsi="Arial" w:cs="Arial"/>
          <w:bCs/>
          <w:sz w:val="22"/>
          <w:szCs w:val="22"/>
        </w:rPr>
        <w:t xml:space="preserve">Absolutní hodnota mezery DPH podle modelu NKÚ za poslední tři roky v ČR vzrostla z </w:t>
      </w:r>
      <w:r w:rsidRPr="008C2BB0">
        <w:rPr>
          <w:rFonts w:ascii="Arial" w:hAnsi="Arial" w:cs="Arial"/>
          <w:b/>
          <w:bCs/>
          <w:sz w:val="22"/>
          <w:szCs w:val="22"/>
        </w:rPr>
        <w:t>92 mld. Kč</w:t>
      </w:r>
      <w:r w:rsidRPr="008C2BB0">
        <w:rPr>
          <w:rFonts w:ascii="Arial" w:hAnsi="Arial" w:cs="Arial"/>
          <w:bCs/>
          <w:sz w:val="22"/>
          <w:szCs w:val="22"/>
        </w:rPr>
        <w:t xml:space="preserve"> v roce 2011 na </w:t>
      </w:r>
      <w:r w:rsidRPr="008C2BB0">
        <w:rPr>
          <w:rFonts w:ascii="Arial" w:hAnsi="Arial" w:cs="Arial"/>
          <w:b/>
          <w:bCs/>
          <w:sz w:val="22"/>
          <w:szCs w:val="22"/>
        </w:rPr>
        <w:t>105 mld. Kč</w:t>
      </w:r>
      <w:r w:rsidRPr="008C2BB0">
        <w:rPr>
          <w:rFonts w:ascii="Arial" w:hAnsi="Arial" w:cs="Arial"/>
          <w:bCs/>
          <w:sz w:val="22"/>
          <w:szCs w:val="22"/>
        </w:rPr>
        <w:t xml:space="preserve"> v roce 2013.  </w:t>
      </w:r>
    </w:p>
    <w:p w:rsidR="00966ADB" w:rsidRPr="008C2BB0" w:rsidRDefault="00966ADB" w:rsidP="00966ADB">
      <w:pPr>
        <w:spacing w:after="240"/>
        <w:jc w:val="both"/>
        <w:rPr>
          <w:rFonts w:ascii="Arial" w:hAnsi="Arial" w:cs="Arial"/>
          <w:b/>
          <w:bCs/>
          <w:sz w:val="22"/>
          <w:szCs w:val="22"/>
        </w:rPr>
      </w:pPr>
      <w:r w:rsidRPr="008C2BB0">
        <w:rPr>
          <w:rFonts w:ascii="Arial" w:hAnsi="Arial" w:cs="Arial"/>
          <w:b/>
          <w:bCs/>
          <w:sz w:val="22"/>
          <w:szCs w:val="22"/>
        </w:rPr>
        <w:t>Stanovisko:</w:t>
      </w:r>
    </w:p>
    <w:p w:rsidR="00966ADB" w:rsidRPr="008C2BB0" w:rsidRDefault="00966ADB" w:rsidP="00966ADB">
      <w:pPr>
        <w:spacing w:after="240"/>
        <w:jc w:val="both"/>
        <w:rPr>
          <w:rFonts w:ascii="Arial" w:hAnsi="Arial" w:cs="Arial"/>
          <w:b/>
          <w:bCs/>
          <w:sz w:val="22"/>
          <w:szCs w:val="22"/>
        </w:rPr>
      </w:pPr>
      <w:r w:rsidRPr="008C2BB0">
        <w:rPr>
          <w:rFonts w:ascii="Arial" w:hAnsi="Arial" w:cs="Arial"/>
          <w:b/>
          <w:bCs/>
          <w:sz w:val="22"/>
          <w:szCs w:val="22"/>
        </w:rPr>
        <w:t>Rozumíme, že se NKÚ pokusil o kvantifikaci dopadu přijatých daňových opatření, a tak zvolilo mezeru DPH jako možný  nástroj měření účinnosti výběru DPH.</w:t>
      </w:r>
    </w:p>
    <w:p w:rsidR="00966ADB" w:rsidRPr="008C2BB0" w:rsidRDefault="00966ADB" w:rsidP="00966ADB">
      <w:pPr>
        <w:spacing w:after="240"/>
        <w:jc w:val="both"/>
        <w:rPr>
          <w:rFonts w:ascii="Arial" w:hAnsi="Arial" w:cs="Arial"/>
          <w:b/>
          <w:bCs/>
          <w:sz w:val="22"/>
          <w:szCs w:val="22"/>
        </w:rPr>
      </w:pPr>
      <w:r w:rsidRPr="008C2BB0">
        <w:rPr>
          <w:rFonts w:ascii="Arial" w:hAnsi="Arial" w:cs="Arial"/>
          <w:b/>
          <w:bCs/>
          <w:sz w:val="22"/>
          <w:szCs w:val="22"/>
        </w:rPr>
        <w:t xml:space="preserve">Neodhalené daňové úniky zahrnul NKÚ do širší skupiny „chyby a omyly v daňových přiznáních a rozdíly mezi statistickými a daňovými výkazy“ (spolu 28 %). Za zmínku stojí, že nejreprezentativnější podíl na velkosti mezery DPH připadá, dle NKÚ, na podnikatele úmyslně zkreslující údaje (až 40% daňové mezery ČR). Objem této činnosti nelze dle názoru MF a GFŘ empiricky měřit a z hlediska dopadu na krácení daně je mezera DPH relevantní ukazatel spíše pro změny daně důchodového typu než pro DPH. Podíl karuselových podvodů, které jsou obecně považovány za nejvážnější typ podvodu v oblasti DPH, a na celkové mezeře DPH, v závěrech NKÚ nejsou vůbec zmíněny. </w:t>
      </w:r>
    </w:p>
    <w:p w:rsidR="00966ADB" w:rsidRPr="008C2BB0" w:rsidRDefault="00966ADB" w:rsidP="00966ADB">
      <w:pPr>
        <w:spacing w:after="240"/>
        <w:jc w:val="both"/>
        <w:rPr>
          <w:rFonts w:ascii="Arial" w:hAnsi="Arial" w:cs="Arial"/>
          <w:b/>
          <w:bCs/>
          <w:sz w:val="22"/>
          <w:szCs w:val="22"/>
        </w:rPr>
      </w:pPr>
      <w:r w:rsidRPr="008C2BB0">
        <w:rPr>
          <w:rFonts w:ascii="Arial" w:hAnsi="Arial" w:cs="Arial"/>
          <w:b/>
          <w:bCs/>
          <w:sz w:val="22"/>
          <w:szCs w:val="22"/>
        </w:rPr>
        <w:t xml:space="preserve">MF ČR a GFŘ zastávají názor, že přijímána opatření měla vzhledem na rychle se adaptující postupy jednotlivců a skupin na více sofistikované podvodné způsoby, aby si zachovali majetkový prospěch z nadměrných nebo neprávem nárokovanými odpočtů DPH zejména </w:t>
      </w:r>
      <w:r w:rsidRPr="008C2BB0">
        <w:rPr>
          <w:rFonts w:ascii="Arial" w:hAnsi="Arial" w:cs="Arial"/>
          <w:b/>
          <w:bCs/>
          <w:sz w:val="22"/>
          <w:szCs w:val="22"/>
          <w:u w:val="single"/>
        </w:rPr>
        <w:t>preventivní účinek</w:t>
      </w:r>
      <w:r w:rsidRPr="008C2BB0">
        <w:rPr>
          <w:rFonts w:ascii="Arial" w:hAnsi="Arial" w:cs="Arial"/>
          <w:b/>
          <w:bCs/>
          <w:sz w:val="22"/>
          <w:szCs w:val="22"/>
        </w:rPr>
        <w:t xml:space="preserve">. </w:t>
      </w:r>
    </w:p>
    <w:p w:rsidR="00966ADB" w:rsidRPr="008C2BB0" w:rsidRDefault="00966ADB" w:rsidP="00966ADB">
      <w:pPr>
        <w:spacing w:after="240"/>
        <w:jc w:val="both"/>
        <w:rPr>
          <w:rFonts w:ascii="Arial" w:hAnsi="Arial" w:cs="Arial"/>
          <w:b/>
          <w:bCs/>
          <w:sz w:val="22"/>
          <w:szCs w:val="22"/>
        </w:rPr>
      </w:pPr>
      <w:r w:rsidRPr="008C2BB0">
        <w:rPr>
          <w:rFonts w:ascii="Arial" w:hAnsi="Arial" w:cs="Arial"/>
          <w:b/>
          <w:bCs/>
          <w:sz w:val="22"/>
          <w:szCs w:val="22"/>
        </w:rPr>
        <w:t xml:space="preserve">MF ČR a GFŘ  vycházejí z ověřené denní praxe, a dopad nově uplatňovaných opatření vnímají kladně. Přes pozitivní vnímání dosavadních opatření připravili MF ČR a GFŘ společně řadu dalších legislativních opatření: kontrolní hlášení, rozšíření působnosti režimu přenesené daňové povinnosti, elektronickou evidenci tržeb, kterých prioritou je zlepšení výběru DPH. Vedle legislativních opatření věnují pozornost zlepšení metodické činnosti, odstranění nedostatků ve výkladu postupů a zvýšení kapacity a efektivnosti finanční správy. </w:t>
      </w:r>
    </w:p>
    <w:p w:rsidR="00966ADB" w:rsidRPr="008C2BB0" w:rsidRDefault="00966ADB" w:rsidP="00966ADB">
      <w:pPr>
        <w:spacing w:after="240"/>
        <w:jc w:val="both"/>
        <w:rPr>
          <w:rFonts w:ascii="Arial" w:hAnsi="Arial" w:cs="Arial"/>
          <w:b/>
          <w:bCs/>
          <w:sz w:val="22"/>
          <w:szCs w:val="22"/>
        </w:rPr>
      </w:pPr>
    </w:p>
    <w:p w:rsidR="00AE620B" w:rsidRPr="008C2BB0" w:rsidRDefault="00AE620B" w:rsidP="00242386">
      <w:pPr>
        <w:spacing w:after="240"/>
        <w:jc w:val="both"/>
        <w:rPr>
          <w:rFonts w:ascii="Arial" w:hAnsi="Arial" w:cs="Arial"/>
          <w:bCs/>
          <w:sz w:val="22"/>
          <w:szCs w:val="22"/>
        </w:rPr>
      </w:pPr>
    </w:p>
    <w:sectPr w:rsidR="00AE620B" w:rsidRPr="008C2BB0" w:rsidSect="009E5F4A">
      <w:footerReference w:type="default" r:id="rId8"/>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46838" w:rsidRDefault="00D46838" w:rsidP="00242386">
      <w:r>
        <w:separator/>
      </w:r>
    </w:p>
  </w:endnote>
  <w:endnote w:type="continuationSeparator" w:id="0">
    <w:p w:rsidR="00D46838" w:rsidRDefault="00D46838" w:rsidP="002423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2386" w:rsidRPr="00242386" w:rsidRDefault="00242386" w:rsidP="00242386">
    <w:pPr>
      <w:pStyle w:val="Podtitul"/>
      <w:rPr>
        <w:rFonts w:ascii="Arial" w:hAnsi="Arial" w:cs="Arial"/>
        <w:sz w:val="22"/>
        <w:szCs w:val="22"/>
      </w:rPr>
    </w:pPr>
    <w:r>
      <w:rPr>
        <w:rFonts w:ascii="Arial" w:hAnsi="Arial" w:cs="Arial"/>
        <w:sz w:val="22"/>
        <w:szCs w:val="22"/>
      </w:rPr>
      <w:t xml:space="preserve">Stránka </w:t>
    </w:r>
    <w:r>
      <w:rPr>
        <w:rFonts w:ascii="Arial" w:hAnsi="Arial" w:cs="Arial"/>
        <w:sz w:val="22"/>
        <w:szCs w:val="22"/>
      </w:rPr>
      <w:fldChar w:fldCharType="begin"/>
    </w:r>
    <w:r>
      <w:rPr>
        <w:rFonts w:ascii="Arial" w:hAnsi="Arial" w:cs="Arial"/>
        <w:sz w:val="22"/>
        <w:szCs w:val="22"/>
      </w:rPr>
      <w:instrText>PAGE</w:instrText>
    </w:r>
    <w:r>
      <w:rPr>
        <w:rFonts w:ascii="Arial" w:hAnsi="Arial" w:cs="Arial"/>
        <w:sz w:val="22"/>
        <w:szCs w:val="22"/>
      </w:rPr>
      <w:fldChar w:fldCharType="separate"/>
    </w:r>
    <w:r w:rsidR="00B86960">
      <w:rPr>
        <w:rFonts w:ascii="Arial" w:hAnsi="Arial" w:cs="Arial"/>
        <w:noProof/>
        <w:sz w:val="22"/>
        <w:szCs w:val="22"/>
      </w:rPr>
      <w:t>2</w:t>
    </w:r>
    <w:r>
      <w:rPr>
        <w:rFonts w:ascii="Arial" w:hAnsi="Arial" w:cs="Arial"/>
        <w:sz w:val="22"/>
        <w:szCs w:val="22"/>
      </w:rPr>
      <w:fldChar w:fldCharType="end"/>
    </w:r>
    <w:r>
      <w:rPr>
        <w:rFonts w:ascii="Arial" w:hAnsi="Arial" w:cs="Arial"/>
        <w:sz w:val="22"/>
        <w:szCs w:val="22"/>
      </w:rPr>
      <w:t xml:space="preserve"> (celkem </w:t>
    </w:r>
    <w:r>
      <w:rPr>
        <w:rFonts w:ascii="Arial" w:hAnsi="Arial" w:cs="Arial"/>
        <w:sz w:val="22"/>
        <w:szCs w:val="22"/>
      </w:rPr>
      <w:fldChar w:fldCharType="begin"/>
    </w:r>
    <w:r>
      <w:rPr>
        <w:rFonts w:ascii="Arial" w:hAnsi="Arial" w:cs="Arial"/>
        <w:sz w:val="22"/>
        <w:szCs w:val="22"/>
      </w:rPr>
      <w:instrText>NUMPAGES</w:instrText>
    </w:r>
    <w:r>
      <w:rPr>
        <w:rFonts w:ascii="Arial" w:hAnsi="Arial" w:cs="Arial"/>
        <w:sz w:val="22"/>
        <w:szCs w:val="22"/>
      </w:rPr>
      <w:fldChar w:fldCharType="separate"/>
    </w:r>
    <w:r w:rsidR="00B86960">
      <w:rPr>
        <w:rFonts w:ascii="Arial" w:hAnsi="Arial" w:cs="Arial"/>
        <w:noProof/>
        <w:sz w:val="22"/>
        <w:szCs w:val="22"/>
      </w:rPr>
      <w:t>16</w:t>
    </w:r>
    <w:r>
      <w:rPr>
        <w:rFonts w:ascii="Arial" w:hAnsi="Arial" w:cs="Arial"/>
        <w:sz w:val="22"/>
        <w:szCs w:val="22"/>
      </w:rPr>
      <w:fldChar w:fldCharType="end"/>
    </w:r>
    <w:r>
      <w:rPr>
        <w:rFonts w:ascii="Arial" w:hAnsi="Arial" w:cs="Arial"/>
        <w:sz w:val="22"/>
        <w:szCs w:val="22"/>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46838" w:rsidRDefault="00D46838" w:rsidP="00242386">
      <w:r>
        <w:separator/>
      </w:r>
    </w:p>
  </w:footnote>
  <w:footnote w:type="continuationSeparator" w:id="0">
    <w:p w:rsidR="00D46838" w:rsidRDefault="00D46838" w:rsidP="0024238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0D4BE2"/>
    <w:multiLevelType w:val="hybridMultilevel"/>
    <w:tmpl w:val="A44439D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nsid w:val="043D4859"/>
    <w:multiLevelType w:val="hybridMultilevel"/>
    <w:tmpl w:val="B5B2F42A"/>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nsid w:val="05595B1A"/>
    <w:multiLevelType w:val="hybridMultilevel"/>
    <w:tmpl w:val="7832B65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
    <w:nsid w:val="07A85D49"/>
    <w:multiLevelType w:val="hybridMultilevel"/>
    <w:tmpl w:val="200E3CE6"/>
    <w:lvl w:ilvl="0" w:tplc="04050001">
      <w:start w:val="1"/>
      <w:numFmt w:val="bullet"/>
      <w:lvlText w:val=""/>
      <w:lvlJc w:val="left"/>
      <w:pPr>
        <w:ind w:left="360" w:hanging="360"/>
      </w:pPr>
      <w:rPr>
        <w:rFonts w:ascii="Symbol" w:hAnsi="Symbol" w:hint="default"/>
      </w:rPr>
    </w:lvl>
    <w:lvl w:ilvl="1" w:tplc="04050003" w:tentative="1">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4">
    <w:nsid w:val="08EF56F7"/>
    <w:multiLevelType w:val="hybridMultilevel"/>
    <w:tmpl w:val="FCE4835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
    <w:nsid w:val="09496C07"/>
    <w:multiLevelType w:val="hybridMultilevel"/>
    <w:tmpl w:val="07F808B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
    <w:nsid w:val="0E9E6E43"/>
    <w:multiLevelType w:val="hybridMultilevel"/>
    <w:tmpl w:val="22769308"/>
    <w:lvl w:ilvl="0" w:tplc="947CE71E">
      <w:start w:val="1"/>
      <w:numFmt w:val="decimal"/>
      <w:lvlText w:val="%1."/>
      <w:lvlJc w:val="left"/>
      <w:pPr>
        <w:tabs>
          <w:tab w:val="num" w:pos="233"/>
        </w:tabs>
        <w:ind w:left="233" w:hanging="444"/>
      </w:pPr>
      <w:rPr>
        <w:rFonts w:hint="default"/>
      </w:rPr>
    </w:lvl>
    <w:lvl w:ilvl="1" w:tplc="04050019" w:tentative="1">
      <w:start w:val="1"/>
      <w:numFmt w:val="lowerLetter"/>
      <w:lvlText w:val="%2."/>
      <w:lvlJc w:val="left"/>
      <w:pPr>
        <w:tabs>
          <w:tab w:val="num" w:pos="869"/>
        </w:tabs>
        <w:ind w:left="869" w:hanging="360"/>
      </w:pPr>
    </w:lvl>
    <w:lvl w:ilvl="2" w:tplc="0405001B" w:tentative="1">
      <w:start w:val="1"/>
      <w:numFmt w:val="lowerRoman"/>
      <w:lvlText w:val="%3."/>
      <w:lvlJc w:val="right"/>
      <w:pPr>
        <w:tabs>
          <w:tab w:val="num" w:pos="1589"/>
        </w:tabs>
        <w:ind w:left="1589" w:hanging="180"/>
      </w:pPr>
    </w:lvl>
    <w:lvl w:ilvl="3" w:tplc="0405000F" w:tentative="1">
      <w:start w:val="1"/>
      <w:numFmt w:val="decimal"/>
      <w:lvlText w:val="%4."/>
      <w:lvlJc w:val="left"/>
      <w:pPr>
        <w:tabs>
          <w:tab w:val="num" w:pos="2309"/>
        </w:tabs>
        <w:ind w:left="2309" w:hanging="360"/>
      </w:pPr>
    </w:lvl>
    <w:lvl w:ilvl="4" w:tplc="04050019" w:tentative="1">
      <w:start w:val="1"/>
      <w:numFmt w:val="lowerLetter"/>
      <w:lvlText w:val="%5."/>
      <w:lvlJc w:val="left"/>
      <w:pPr>
        <w:tabs>
          <w:tab w:val="num" w:pos="3029"/>
        </w:tabs>
        <w:ind w:left="3029" w:hanging="360"/>
      </w:pPr>
    </w:lvl>
    <w:lvl w:ilvl="5" w:tplc="0405001B" w:tentative="1">
      <w:start w:val="1"/>
      <w:numFmt w:val="lowerRoman"/>
      <w:lvlText w:val="%6."/>
      <w:lvlJc w:val="right"/>
      <w:pPr>
        <w:tabs>
          <w:tab w:val="num" w:pos="3749"/>
        </w:tabs>
        <w:ind w:left="3749" w:hanging="180"/>
      </w:pPr>
    </w:lvl>
    <w:lvl w:ilvl="6" w:tplc="0405000F" w:tentative="1">
      <w:start w:val="1"/>
      <w:numFmt w:val="decimal"/>
      <w:lvlText w:val="%7."/>
      <w:lvlJc w:val="left"/>
      <w:pPr>
        <w:tabs>
          <w:tab w:val="num" w:pos="4469"/>
        </w:tabs>
        <w:ind w:left="4469" w:hanging="360"/>
      </w:pPr>
    </w:lvl>
    <w:lvl w:ilvl="7" w:tplc="04050019" w:tentative="1">
      <w:start w:val="1"/>
      <w:numFmt w:val="lowerLetter"/>
      <w:lvlText w:val="%8."/>
      <w:lvlJc w:val="left"/>
      <w:pPr>
        <w:tabs>
          <w:tab w:val="num" w:pos="5189"/>
        </w:tabs>
        <w:ind w:left="5189" w:hanging="360"/>
      </w:pPr>
    </w:lvl>
    <w:lvl w:ilvl="8" w:tplc="0405001B" w:tentative="1">
      <w:start w:val="1"/>
      <w:numFmt w:val="lowerRoman"/>
      <w:lvlText w:val="%9."/>
      <w:lvlJc w:val="right"/>
      <w:pPr>
        <w:tabs>
          <w:tab w:val="num" w:pos="5909"/>
        </w:tabs>
        <w:ind w:left="5909" w:hanging="180"/>
      </w:pPr>
    </w:lvl>
  </w:abstractNum>
  <w:abstractNum w:abstractNumId="7">
    <w:nsid w:val="0F2B2942"/>
    <w:multiLevelType w:val="hybridMultilevel"/>
    <w:tmpl w:val="41A22EA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8">
    <w:nsid w:val="12E937E8"/>
    <w:multiLevelType w:val="hybridMultilevel"/>
    <w:tmpl w:val="03867A2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9">
    <w:nsid w:val="18534DC8"/>
    <w:multiLevelType w:val="hybridMultilevel"/>
    <w:tmpl w:val="03A07B0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nsid w:val="196149E5"/>
    <w:multiLevelType w:val="hybridMultilevel"/>
    <w:tmpl w:val="20522AB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nsid w:val="206F6870"/>
    <w:multiLevelType w:val="hybridMultilevel"/>
    <w:tmpl w:val="E2266970"/>
    <w:lvl w:ilvl="0" w:tplc="08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2">
    <w:nsid w:val="23855A58"/>
    <w:multiLevelType w:val="hybridMultilevel"/>
    <w:tmpl w:val="56904E6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3">
    <w:nsid w:val="25475362"/>
    <w:multiLevelType w:val="hybridMultilevel"/>
    <w:tmpl w:val="D51C1DF6"/>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nsid w:val="26473745"/>
    <w:multiLevelType w:val="hybridMultilevel"/>
    <w:tmpl w:val="6F8CB48A"/>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nsid w:val="274669B1"/>
    <w:multiLevelType w:val="hybridMultilevel"/>
    <w:tmpl w:val="FECC802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6">
    <w:nsid w:val="29597258"/>
    <w:multiLevelType w:val="hybridMultilevel"/>
    <w:tmpl w:val="ACA8285A"/>
    <w:lvl w:ilvl="0" w:tplc="04050001">
      <w:start w:val="1"/>
      <w:numFmt w:val="bullet"/>
      <w:lvlText w:val=""/>
      <w:lvlJc w:val="left"/>
      <w:pPr>
        <w:ind w:left="720" w:hanging="360"/>
      </w:pPr>
      <w:rPr>
        <w:rFonts w:ascii="Symbol" w:hAnsi="Symbol"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7">
    <w:nsid w:val="299F6EE5"/>
    <w:multiLevelType w:val="hybridMultilevel"/>
    <w:tmpl w:val="53AC756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8">
    <w:nsid w:val="2CE74A94"/>
    <w:multiLevelType w:val="hybridMultilevel"/>
    <w:tmpl w:val="8E246B8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9">
    <w:nsid w:val="2D1C4DF0"/>
    <w:multiLevelType w:val="hybridMultilevel"/>
    <w:tmpl w:val="6B42206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0">
    <w:nsid w:val="37A56BAF"/>
    <w:multiLevelType w:val="hybridMultilevel"/>
    <w:tmpl w:val="D9066240"/>
    <w:lvl w:ilvl="0" w:tplc="04050001">
      <w:start w:val="1"/>
      <w:numFmt w:val="bullet"/>
      <w:lvlText w:val=""/>
      <w:lvlJc w:val="left"/>
      <w:pPr>
        <w:ind w:left="722" w:hanging="360"/>
      </w:pPr>
      <w:rPr>
        <w:rFonts w:ascii="Symbol" w:hAnsi="Symbol" w:hint="default"/>
      </w:rPr>
    </w:lvl>
    <w:lvl w:ilvl="1" w:tplc="04050003" w:tentative="1">
      <w:start w:val="1"/>
      <w:numFmt w:val="bullet"/>
      <w:lvlText w:val="o"/>
      <w:lvlJc w:val="left"/>
      <w:pPr>
        <w:ind w:left="1442" w:hanging="360"/>
      </w:pPr>
      <w:rPr>
        <w:rFonts w:ascii="Courier New" w:hAnsi="Courier New" w:cs="Courier New" w:hint="default"/>
      </w:rPr>
    </w:lvl>
    <w:lvl w:ilvl="2" w:tplc="04050005" w:tentative="1">
      <w:start w:val="1"/>
      <w:numFmt w:val="bullet"/>
      <w:lvlText w:val=""/>
      <w:lvlJc w:val="left"/>
      <w:pPr>
        <w:ind w:left="2162" w:hanging="360"/>
      </w:pPr>
      <w:rPr>
        <w:rFonts w:ascii="Wingdings" w:hAnsi="Wingdings" w:hint="default"/>
      </w:rPr>
    </w:lvl>
    <w:lvl w:ilvl="3" w:tplc="04050001" w:tentative="1">
      <w:start w:val="1"/>
      <w:numFmt w:val="bullet"/>
      <w:lvlText w:val=""/>
      <w:lvlJc w:val="left"/>
      <w:pPr>
        <w:ind w:left="2882" w:hanging="360"/>
      </w:pPr>
      <w:rPr>
        <w:rFonts w:ascii="Symbol" w:hAnsi="Symbol" w:hint="default"/>
      </w:rPr>
    </w:lvl>
    <w:lvl w:ilvl="4" w:tplc="04050003" w:tentative="1">
      <w:start w:val="1"/>
      <w:numFmt w:val="bullet"/>
      <w:lvlText w:val="o"/>
      <w:lvlJc w:val="left"/>
      <w:pPr>
        <w:ind w:left="3602" w:hanging="360"/>
      </w:pPr>
      <w:rPr>
        <w:rFonts w:ascii="Courier New" w:hAnsi="Courier New" w:cs="Courier New" w:hint="default"/>
      </w:rPr>
    </w:lvl>
    <w:lvl w:ilvl="5" w:tplc="04050005" w:tentative="1">
      <w:start w:val="1"/>
      <w:numFmt w:val="bullet"/>
      <w:lvlText w:val=""/>
      <w:lvlJc w:val="left"/>
      <w:pPr>
        <w:ind w:left="4322" w:hanging="360"/>
      </w:pPr>
      <w:rPr>
        <w:rFonts w:ascii="Wingdings" w:hAnsi="Wingdings" w:hint="default"/>
      </w:rPr>
    </w:lvl>
    <w:lvl w:ilvl="6" w:tplc="04050001" w:tentative="1">
      <w:start w:val="1"/>
      <w:numFmt w:val="bullet"/>
      <w:lvlText w:val=""/>
      <w:lvlJc w:val="left"/>
      <w:pPr>
        <w:ind w:left="5042" w:hanging="360"/>
      </w:pPr>
      <w:rPr>
        <w:rFonts w:ascii="Symbol" w:hAnsi="Symbol" w:hint="default"/>
      </w:rPr>
    </w:lvl>
    <w:lvl w:ilvl="7" w:tplc="04050003" w:tentative="1">
      <w:start w:val="1"/>
      <w:numFmt w:val="bullet"/>
      <w:lvlText w:val="o"/>
      <w:lvlJc w:val="left"/>
      <w:pPr>
        <w:ind w:left="5762" w:hanging="360"/>
      </w:pPr>
      <w:rPr>
        <w:rFonts w:ascii="Courier New" w:hAnsi="Courier New" w:cs="Courier New" w:hint="default"/>
      </w:rPr>
    </w:lvl>
    <w:lvl w:ilvl="8" w:tplc="04050005" w:tentative="1">
      <w:start w:val="1"/>
      <w:numFmt w:val="bullet"/>
      <w:lvlText w:val=""/>
      <w:lvlJc w:val="left"/>
      <w:pPr>
        <w:ind w:left="6482" w:hanging="360"/>
      </w:pPr>
      <w:rPr>
        <w:rFonts w:ascii="Wingdings" w:hAnsi="Wingdings" w:hint="default"/>
      </w:rPr>
    </w:lvl>
  </w:abstractNum>
  <w:abstractNum w:abstractNumId="21">
    <w:nsid w:val="3B2A688B"/>
    <w:multiLevelType w:val="hybridMultilevel"/>
    <w:tmpl w:val="85B27C4C"/>
    <w:lvl w:ilvl="0" w:tplc="03CE7218">
      <w:start w:val="1"/>
      <w:numFmt w:val="upperRoman"/>
      <w:lvlText w:val="%1."/>
      <w:lvlJc w:val="left"/>
      <w:pPr>
        <w:ind w:left="1080" w:hanging="72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2">
    <w:nsid w:val="3BDB7027"/>
    <w:multiLevelType w:val="hybridMultilevel"/>
    <w:tmpl w:val="8BACDF0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3">
    <w:nsid w:val="41981E4F"/>
    <w:multiLevelType w:val="hybridMultilevel"/>
    <w:tmpl w:val="D0AAB1A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4">
    <w:nsid w:val="45EA60C7"/>
    <w:multiLevelType w:val="hybridMultilevel"/>
    <w:tmpl w:val="12BE4F1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5">
    <w:nsid w:val="525A11F1"/>
    <w:multiLevelType w:val="hybridMultilevel"/>
    <w:tmpl w:val="4C70EF7E"/>
    <w:lvl w:ilvl="0" w:tplc="FF029A6A">
      <w:start w:val="7"/>
      <w:numFmt w:val="bullet"/>
      <w:lvlText w:val="-"/>
      <w:lvlJc w:val="left"/>
      <w:pPr>
        <w:ind w:left="720" w:hanging="360"/>
      </w:pPr>
      <w:rPr>
        <w:rFonts w:ascii="Calibri" w:eastAsiaTheme="minorHAnsi" w:hAnsi="Calibri" w:cstheme="minorBid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6">
    <w:nsid w:val="571A48F1"/>
    <w:multiLevelType w:val="hybridMultilevel"/>
    <w:tmpl w:val="39C22654"/>
    <w:lvl w:ilvl="0" w:tplc="D1A40A9E">
      <w:start w:val="1"/>
      <w:numFmt w:val="upperLetter"/>
      <w:lvlText w:val="%1."/>
      <w:lvlJc w:val="left"/>
      <w:pPr>
        <w:ind w:left="720" w:hanging="360"/>
      </w:pPr>
      <w:rPr>
        <w:rFonts w:hint="default"/>
        <w:b/>
      </w:rPr>
    </w:lvl>
    <w:lvl w:ilvl="1" w:tplc="5E4ABD34">
      <w:start w:val="1"/>
      <w:numFmt w:val="bullet"/>
      <w:lvlText w:val=""/>
      <w:lvlJc w:val="left"/>
      <w:pPr>
        <w:tabs>
          <w:tab w:val="num" w:pos="1440"/>
        </w:tabs>
        <w:ind w:left="1440" w:hanging="360"/>
      </w:pPr>
      <w:rPr>
        <w:rFonts w:ascii="Symbol" w:hAnsi="Symbol" w:hint="default"/>
        <w:b/>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7">
    <w:nsid w:val="584C2228"/>
    <w:multiLevelType w:val="hybridMultilevel"/>
    <w:tmpl w:val="06BA8C2A"/>
    <w:lvl w:ilvl="0" w:tplc="04050001">
      <w:start w:val="1"/>
      <w:numFmt w:val="bullet"/>
      <w:lvlText w:val=""/>
      <w:lvlJc w:val="left"/>
      <w:pPr>
        <w:ind w:left="1428" w:hanging="360"/>
      </w:pPr>
      <w:rPr>
        <w:rFonts w:ascii="Symbol" w:hAnsi="Symbol" w:hint="default"/>
      </w:rPr>
    </w:lvl>
    <w:lvl w:ilvl="1" w:tplc="04050003" w:tentative="1">
      <w:start w:val="1"/>
      <w:numFmt w:val="bullet"/>
      <w:lvlText w:val="o"/>
      <w:lvlJc w:val="left"/>
      <w:pPr>
        <w:ind w:left="2148" w:hanging="360"/>
      </w:pPr>
      <w:rPr>
        <w:rFonts w:ascii="Courier New" w:hAnsi="Courier New" w:cs="Courier New" w:hint="default"/>
      </w:rPr>
    </w:lvl>
    <w:lvl w:ilvl="2" w:tplc="04050005" w:tentative="1">
      <w:start w:val="1"/>
      <w:numFmt w:val="bullet"/>
      <w:lvlText w:val=""/>
      <w:lvlJc w:val="left"/>
      <w:pPr>
        <w:ind w:left="2868" w:hanging="360"/>
      </w:pPr>
      <w:rPr>
        <w:rFonts w:ascii="Wingdings" w:hAnsi="Wingdings" w:hint="default"/>
      </w:rPr>
    </w:lvl>
    <w:lvl w:ilvl="3" w:tplc="04050001" w:tentative="1">
      <w:start w:val="1"/>
      <w:numFmt w:val="bullet"/>
      <w:lvlText w:val=""/>
      <w:lvlJc w:val="left"/>
      <w:pPr>
        <w:ind w:left="3588" w:hanging="360"/>
      </w:pPr>
      <w:rPr>
        <w:rFonts w:ascii="Symbol" w:hAnsi="Symbol" w:hint="default"/>
      </w:rPr>
    </w:lvl>
    <w:lvl w:ilvl="4" w:tplc="04050003" w:tentative="1">
      <w:start w:val="1"/>
      <w:numFmt w:val="bullet"/>
      <w:lvlText w:val="o"/>
      <w:lvlJc w:val="left"/>
      <w:pPr>
        <w:ind w:left="4308" w:hanging="360"/>
      </w:pPr>
      <w:rPr>
        <w:rFonts w:ascii="Courier New" w:hAnsi="Courier New" w:cs="Courier New" w:hint="default"/>
      </w:rPr>
    </w:lvl>
    <w:lvl w:ilvl="5" w:tplc="04050005" w:tentative="1">
      <w:start w:val="1"/>
      <w:numFmt w:val="bullet"/>
      <w:lvlText w:val=""/>
      <w:lvlJc w:val="left"/>
      <w:pPr>
        <w:ind w:left="5028" w:hanging="360"/>
      </w:pPr>
      <w:rPr>
        <w:rFonts w:ascii="Wingdings" w:hAnsi="Wingdings" w:hint="default"/>
      </w:rPr>
    </w:lvl>
    <w:lvl w:ilvl="6" w:tplc="04050001" w:tentative="1">
      <w:start w:val="1"/>
      <w:numFmt w:val="bullet"/>
      <w:lvlText w:val=""/>
      <w:lvlJc w:val="left"/>
      <w:pPr>
        <w:ind w:left="5748" w:hanging="360"/>
      </w:pPr>
      <w:rPr>
        <w:rFonts w:ascii="Symbol" w:hAnsi="Symbol" w:hint="default"/>
      </w:rPr>
    </w:lvl>
    <w:lvl w:ilvl="7" w:tplc="04050003" w:tentative="1">
      <w:start w:val="1"/>
      <w:numFmt w:val="bullet"/>
      <w:lvlText w:val="o"/>
      <w:lvlJc w:val="left"/>
      <w:pPr>
        <w:ind w:left="6468" w:hanging="360"/>
      </w:pPr>
      <w:rPr>
        <w:rFonts w:ascii="Courier New" w:hAnsi="Courier New" w:cs="Courier New" w:hint="default"/>
      </w:rPr>
    </w:lvl>
    <w:lvl w:ilvl="8" w:tplc="04050005" w:tentative="1">
      <w:start w:val="1"/>
      <w:numFmt w:val="bullet"/>
      <w:lvlText w:val=""/>
      <w:lvlJc w:val="left"/>
      <w:pPr>
        <w:ind w:left="7188" w:hanging="360"/>
      </w:pPr>
      <w:rPr>
        <w:rFonts w:ascii="Wingdings" w:hAnsi="Wingdings" w:hint="default"/>
      </w:rPr>
    </w:lvl>
  </w:abstractNum>
  <w:abstractNum w:abstractNumId="28">
    <w:nsid w:val="5B8848F8"/>
    <w:multiLevelType w:val="hybridMultilevel"/>
    <w:tmpl w:val="2A684D64"/>
    <w:lvl w:ilvl="0" w:tplc="2B56D00E">
      <w:start w:val="1"/>
      <w:numFmt w:val="bullet"/>
      <w:pStyle w:val="Styl1mmmmm"/>
      <w:lvlText w:val=""/>
      <w:lvlJc w:val="left"/>
      <w:pPr>
        <w:tabs>
          <w:tab w:val="num" w:pos="1276"/>
        </w:tabs>
        <w:ind w:left="1474" w:hanging="197"/>
      </w:pPr>
      <w:rPr>
        <w:rFonts w:ascii="Symbol" w:hAnsi="Symbol"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29">
    <w:nsid w:val="5BB913BE"/>
    <w:multiLevelType w:val="hybridMultilevel"/>
    <w:tmpl w:val="12C2FC0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0">
    <w:nsid w:val="7C03600C"/>
    <w:multiLevelType w:val="hybridMultilevel"/>
    <w:tmpl w:val="FC1A2D3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abstractNumId w:val="26"/>
  </w:num>
  <w:num w:numId="2">
    <w:abstractNumId w:val="13"/>
  </w:num>
  <w:num w:numId="3">
    <w:abstractNumId w:val="20"/>
  </w:num>
  <w:num w:numId="4">
    <w:abstractNumId w:val="11"/>
  </w:num>
  <w:num w:numId="5">
    <w:abstractNumId w:val="9"/>
  </w:num>
  <w:num w:numId="6">
    <w:abstractNumId w:val="10"/>
  </w:num>
  <w:num w:numId="7">
    <w:abstractNumId w:val="0"/>
  </w:num>
  <w:num w:numId="8">
    <w:abstractNumId w:val="28"/>
  </w:num>
  <w:num w:numId="9">
    <w:abstractNumId w:val="7"/>
  </w:num>
  <w:num w:numId="10">
    <w:abstractNumId w:val="8"/>
  </w:num>
  <w:num w:numId="11">
    <w:abstractNumId w:val="2"/>
  </w:num>
  <w:num w:numId="12">
    <w:abstractNumId w:val="22"/>
  </w:num>
  <w:num w:numId="13">
    <w:abstractNumId w:val="14"/>
  </w:num>
  <w:num w:numId="14">
    <w:abstractNumId w:val="23"/>
  </w:num>
  <w:num w:numId="15">
    <w:abstractNumId w:val="21"/>
  </w:num>
  <w:num w:numId="16">
    <w:abstractNumId w:val="4"/>
  </w:num>
  <w:num w:numId="17">
    <w:abstractNumId w:val="6"/>
  </w:num>
  <w:num w:numId="18">
    <w:abstractNumId w:val="3"/>
  </w:num>
  <w:num w:numId="19">
    <w:abstractNumId w:val="16"/>
  </w:num>
  <w:num w:numId="20">
    <w:abstractNumId w:val="12"/>
  </w:num>
  <w:num w:numId="21">
    <w:abstractNumId w:val="19"/>
  </w:num>
  <w:num w:numId="22">
    <w:abstractNumId w:val="1"/>
  </w:num>
  <w:num w:numId="23">
    <w:abstractNumId w:val="25"/>
  </w:num>
  <w:num w:numId="24">
    <w:abstractNumId w:val="27"/>
  </w:num>
  <w:num w:numId="25">
    <w:abstractNumId w:val="5"/>
  </w:num>
  <w:num w:numId="26">
    <w:abstractNumId w:val="29"/>
  </w:num>
  <w:num w:numId="27">
    <w:abstractNumId w:val="17"/>
  </w:num>
  <w:num w:numId="28">
    <w:abstractNumId w:val="30"/>
  </w:num>
  <w:num w:numId="29">
    <w:abstractNumId w:val="15"/>
  </w:num>
  <w:num w:numId="30">
    <w:abstractNumId w:val="24"/>
  </w:num>
  <w:num w:numId="3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ocumentProtection w:edit="forms" w:enforcement="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6CC4"/>
    <w:rsid w:val="000543E8"/>
    <w:rsid w:val="000574DD"/>
    <w:rsid w:val="000C45E5"/>
    <w:rsid w:val="001407E7"/>
    <w:rsid w:val="001C6CC4"/>
    <w:rsid w:val="00242386"/>
    <w:rsid w:val="003047E7"/>
    <w:rsid w:val="003C7937"/>
    <w:rsid w:val="004047FF"/>
    <w:rsid w:val="00443DD9"/>
    <w:rsid w:val="0047432F"/>
    <w:rsid w:val="006F395E"/>
    <w:rsid w:val="00793788"/>
    <w:rsid w:val="007A56F2"/>
    <w:rsid w:val="007C1376"/>
    <w:rsid w:val="008522A4"/>
    <w:rsid w:val="008C2BB0"/>
    <w:rsid w:val="00966ADB"/>
    <w:rsid w:val="009A5662"/>
    <w:rsid w:val="009E5F4A"/>
    <w:rsid w:val="00A5469B"/>
    <w:rsid w:val="00AE620B"/>
    <w:rsid w:val="00B86960"/>
    <w:rsid w:val="00C70064"/>
    <w:rsid w:val="00D34BA9"/>
    <w:rsid w:val="00D46838"/>
    <w:rsid w:val="00D95CAA"/>
    <w:rsid w:val="00DD7AE4"/>
    <w:rsid w:val="00E774DB"/>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0" w:unhideWhenUsed="0" w:qFormat="1"/>
    <w:lsdException w:name="Emphasis" w:semiHidden="0" w:uiPriority="20" w:unhideWhenUsed="0" w:qFormat="1"/>
    <w:lsdException w:name="Document Map" w:uiPriority="0"/>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D95CAA"/>
    <w:pPr>
      <w:spacing w:after="0" w:line="240" w:lineRule="auto"/>
    </w:pPr>
    <w:rPr>
      <w:rFonts w:ascii="Times New Roman" w:eastAsia="Times New Roman" w:hAnsi="Times New Roman" w:cs="Times New Roman"/>
      <w:sz w:val="24"/>
      <w:szCs w:val="24"/>
      <w:lang w:eastAsia="cs-CZ"/>
    </w:rPr>
  </w:style>
  <w:style w:type="paragraph" w:styleId="Nadpis1">
    <w:name w:val="heading 1"/>
    <w:basedOn w:val="Normln"/>
    <w:next w:val="Normln"/>
    <w:link w:val="Nadpis1Char"/>
    <w:uiPriority w:val="9"/>
    <w:qFormat/>
    <w:rsid w:val="00966ADB"/>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dpis2">
    <w:name w:val="heading 2"/>
    <w:basedOn w:val="Normln"/>
    <w:next w:val="Normln"/>
    <w:link w:val="Nadpis2Char"/>
    <w:qFormat/>
    <w:rsid w:val="00966ADB"/>
    <w:pPr>
      <w:keepNext/>
      <w:spacing w:before="240" w:after="60"/>
      <w:outlineLvl w:val="1"/>
    </w:pPr>
    <w:rPr>
      <w:rFonts w:ascii="Arial" w:hAnsi="Arial" w:cs="Arial"/>
      <w:b/>
      <w:bCs/>
      <w:i/>
      <w:iCs/>
      <w:sz w:val="28"/>
      <w:szCs w:val="2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Textbubliny">
    <w:name w:val="Balloon Text"/>
    <w:basedOn w:val="Normln"/>
    <w:link w:val="TextbublinyChar"/>
    <w:uiPriority w:val="99"/>
    <w:semiHidden/>
    <w:unhideWhenUsed/>
    <w:rsid w:val="009A5662"/>
    <w:rPr>
      <w:rFonts w:ascii="Tahoma" w:hAnsi="Tahoma" w:cs="Tahoma"/>
      <w:sz w:val="16"/>
      <w:szCs w:val="16"/>
    </w:rPr>
  </w:style>
  <w:style w:type="character" w:customStyle="1" w:styleId="TextbublinyChar">
    <w:name w:val="Text bubliny Char"/>
    <w:basedOn w:val="Standardnpsmoodstavce"/>
    <w:link w:val="Textbubliny"/>
    <w:uiPriority w:val="99"/>
    <w:semiHidden/>
    <w:rsid w:val="009A5662"/>
    <w:rPr>
      <w:rFonts w:ascii="Tahoma" w:eastAsia="Times New Roman" w:hAnsi="Tahoma" w:cs="Tahoma"/>
      <w:sz w:val="16"/>
      <w:szCs w:val="16"/>
      <w:lang w:eastAsia="cs-CZ"/>
    </w:rPr>
  </w:style>
  <w:style w:type="paragraph" w:styleId="Zhlav">
    <w:name w:val="header"/>
    <w:basedOn w:val="Normln"/>
    <w:link w:val="ZhlavChar"/>
    <w:uiPriority w:val="99"/>
    <w:unhideWhenUsed/>
    <w:rsid w:val="00242386"/>
    <w:pPr>
      <w:tabs>
        <w:tab w:val="center" w:pos="4536"/>
        <w:tab w:val="right" w:pos="9072"/>
      </w:tabs>
    </w:pPr>
  </w:style>
  <w:style w:type="character" w:customStyle="1" w:styleId="ZhlavChar">
    <w:name w:val="Záhlaví Char"/>
    <w:basedOn w:val="Standardnpsmoodstavce"/>
    <w:link w:val="Zhlav"/>
    <w:uiPriority w:val="99"/>
    <w:rsid w:val="00242386"/>
    <w:rPr>
      <w:rFonts w:ascii="Times New Roman" w:eastAsia="Times New Roman" w:hAnsi="Times New Roman" w:cs="Times New Roman"/>
      <w:sz w:val="24"/>
      <w:szCs w:val="24"/>
      <w:lang w:eastAsia="cs-CZ"/>
    </w:rPr>
  </w:style>
  <w:style w:type="paragraph" w:styleId="Zpat">
    <w:name w:val="footer"/>
    <w:basedOn w:val="Normln"/>
    <w:link w:val="ZpatChar"/>
    <w:uiPriority w:val="99"/>
    <w:unhideWhenUsed/>
    <w:rsid w:val="00242386"/>
    <w:pPr>
      <w:tabs>
        <w:tab w:val="center" w:pos="4536"/>
        <w:tab w:val="right" w:pos="9072"/>
      </w:tabs>
    </w:pPr>
  </w:style>
  <w:style w:type="character" w:customStyle="1" w:styleId="ZpatChar">
    <w:name w:val="Zápatí Char"/>
    <w:basedOn w:val="Standardnpsmoodstavce"/>
    <w:link w:val="Zpat"/>
    <w:uiPriority w:val="99"/>
    <w:rsid w:val="00242386"/>
    <w:rPr>
      <w:rFonts w:ascii="Times New Roman" w:eastAsia="Times New Roman" w:hAnsi="Times New Roman" w:cs="Times New Roman"/>
      <w:sz w:val="24"/>
      <w:szCs w:val="24"/>
      <w:lang w:eastAsia="cs-CZ"/>
    </w:rPr>
  </w:style>
  <w:style w:type="paragraph" w:styleId="Podtitul">
    <w:name w:val="Subtitle"/>
    <w:basedOn w:val="Normln"/>
    <w:next w:val="Normln"/>
    <w:link w:val="PodtitulChar"/>
    <w:uiPriority w:val="11"/>
    <w:qFormat/>
    <w:rsid w:val="00242386"/>
    <w:pPr>
      <w:spacing w:after="60"/>
      <w:jc w:val="center"/>
      <w:outlineLvl w:val="1"/>
    </w:pPr>
    <w:rPr>
      <w:rFonts w:ascii="Cambria" w:hAnsi="Cambria"/>
    </w:rPr>
  </w:style>
  <w:style w:type="character" w:customStyle="1" w:styleId="PodtitulChar">
    <w:name w:val="Podtitul Char"/>
    <w:basedOn w:val="Standardnpsmoodstavce"/>
    <w:link w:val="Podtitul"/>
    <w:uiPriority w:val="11"/>
    <w:rsid w:val="00242386"/>
    <w:rPr>
      <w:rFonts w:ascii="Cambria" w:eastAsia="Times New Roman" w:hAnsi="Cambria" w:cs="Times New Roman"/>
      <w:sz w:val="24"/>
      <w:szCs w:val="24"/>
      <w:lang w:eastAsia="cs-CZ"/>
    </w:rPr>
  </w:style>
  <w:style w:type="character" w:customStyle="1" w:styleId="Nadpis1Char">
    <w:name w:val="Nadpis 1 Char"/>
    <w:basedOn w:val="Standardnpsmoodstavce"/>
    <w:link w:val="Nadpis1"/>
    <w:uiPriority w:val="9"/>
    <w:rsid w:val="00966ADB"/>
    <w:rPr>
      <w:rFonts w:asciiTheme="majorHAnsi" w:eastAsiaTheme="majorEastAsia" w:hAnsiTheme="majorHAnsi" w:cstheme="majorBidi"/>
      <w:b/>
      <w:bCs/>
      <w:color w:val="365F91" w:themeColor="accent1" w:themeShade="BF"/>
      <w:sz w:val="28"/>
      <w:szCs w:val="28"/>
      <w:lang w:eastAsia="cs-CZ"/>
    </w:rPr>
  </w:style>
  <w:style w:type="character" w:customStyle="1" w:styleId="Nadpis2Char">
    <w:name w:val="Nadpis 2 Char"/>
    <w:basedOn w:val="Standardnpsmoodstavce"/>
    <w:link w:val="Nadpis2"/>
    <w:rsid w:val="00966ADB"/>
    <w:rPr>
      <w:rFonts w:ascii="Arial" w:eastAsia="Times New Roman" w:hAnsi="Arial" w:cs="Arial"/>
      <w:b/>
      <w:bCs/>
      <w:i/>
      <w:iCs/>
      <w:sz w:val="28"/>
      <w:szCs w:val="28"/>
      <w:lang w:eastAsia="cs-CZ"/>
    </w:rPr>
  </w:style>
  <w:style w:type="paragraph" w:styleId="Odstavecseseznamem">
    <w:name w:val="List Paragraph"/>
    <w:basedOn w:val="Normln"/>
    <w:uiPriority w:val="34"/>
    <w:qFormat/>
    <w:rsid w:val="00966ADB"/>
    <w:pPr>
      <w:ind w:left="720"/>
      <w:contextualSpacing/>
    </w:pPr>
    <w:rPr>
      <w:lang w:eastAsia="en-US"/>
    </w:rPr>
  </w:style>
  <w:style w:type="paragraph" w:styleId="Normlnweb">
    <w:name w:val="Normal (Web)"/>
    <w:basedOn w:val="Normln"/>
    <w:rsid w:val="00966ADB"/>
    <w:rPr>
      <w:lang w:eastAsia="en-US"/>
    </w:rPr>
  </w:style>
  <w:style w:type="character" w:styleId="Siln">
    <w:name w:val="Strong"/>
    <w:qFormat/>
    <w:rsid w:val="00966ADB"/>
    <w:rPr>
      <w:rFonts w:cs="Times New Roman"/>
      <w:b/>
      <w:bCs/>
    </w:rPr>
  </w:style>
  <w:style w:type="paragraph" w:styleId="Rozloendokumentu">
    <w:name w:val="Document Map"/>
    <w:basedOn w:val="Normln"/>
    <w:link w:val="RozloendokumentuChar"/>
    <w:semiHidden/>
    <w:rsid w:val="00966ADB"/>
    <w:pPr>
      <w:shd w:val="clear" w:color="auto" w:fill="000080"/>
    </w:pPr>
    <w:rPr>
      <w:rFonts w:ascii="Tahoma" w:hAnsi="Tahoma" w:cs="Tahoma"/>
      <w:sz w:val="20"/>
      <w:szCs w:val="20"/>
    </w:rPr>
  </w:style>
  <w:style w:type="character" w:customStyle="1" w:styleId="RozloendokumentuChar">
    <w:name w:val="Rozložení dokumentu Char"/>
    <w:basedOn w:val="Standardnpsmoodstavce"/>
    <w:link w:val="Rozloendokumentu"/>
    <w:semiHidden/>
    <w:rsid w:val="00966ADB"/>
    <w:rPr>
      <w:rFonts w:ascii="Tahoma" w:eastAsia="Times New Roman" w:hAnsi="Tahoma" w:cs="Tahoma"/>
      <w:sz w:val="20"/>
      <w:szCs w:val="20"/>
      <w:shd w:val="clear" w:color="auto" w:fill="000080"/>
      <w:lang w:eastAsia="cs-CZ"/>
    </w:rPr>
  </w:style>
  <w:style w:type="paragraph" w:customStyle="1" w:styleId="Odstavecseseznamem1">
    <w:name w:val="Odstavec se seznamem1"/>
    <w:basedOn w:val="Normln"/>
    <w:rsid w:val="00966ADB"/>
    <w:pPr>
      <w:ind w:left="720"/>
      <w:contextualSpacing/>
    </w:pPr>
    <w:rPr>
      <w:lang w:val="en-US" w:eastAsia="en-US"/>
    </w:rPr>
  </w:style>
  <w:style w:type="paragraph" w:styleId="Zkladntextodsazen3">
    <w:name w:val="Body Text Indent 3"/>
    <w:basedOn w:val="Normln"/>
    <w:link w:val="Zkladntextodsazen3Char"/>
    <w:rsid w:val="00966ADB"/>
    <w:pPr>
      <w:spacing w:after="120"/>
      <w:ind w:left="283"/>
    </w:pPr>
    <w:rPr>
      <w:sz w:val="16"/>
      <w:szCs w:val="16"/>
    </w:rPr>
  </w:style>
  <w:style w:type="character" w:customStyle="1" w:styleId="Zkladntextodsazen3Char">
    <w:name w:val="Základní text odsazený 3 Char"/>
    <w:basedOn w:val="Standardnpsmoodstavce"/>
    <w:link w:val="Zkladntextodsazen3"/>
    <w:rsid w:val="00966ADB"/>
    <w:rPr>
      <w:rFonts w:ascii="Times New Roman" w:eastAsia="Times New Roman" w:hAnsi="Times New Roman" w:cs="Times New Roman"/>
      <w:sz w:val="16"/>
      <w:szCs w:val="16"/>
      <w:lang w:eastAsia="cs-CZ"/>
    </w:rPr>
  </w:style>
  <w:style w:type="paragraph" w:customStyle="1" w:styleId="Styl1mmmmm">
    <w:name w:val="Styl1mmmmm"/>
    <w:basedOn w:val="Normln"/>
    <w:rsid w:val="00966ADB"/>
    <w:pPr>
      <w:numPr>
        <w:numId w:val="8"/>
      </w:numPr>
    </w:pPr>
  </w:style>
  <w:style w:type="paragraph" w:customStyle="1" w:styleId="Popisky">
    <w:name w:val="Popisky"/>
    <w:basedOn w:val="Normln"/>
    <w:rsid w:val="00966ADB"/>
    <w:rPr>
      <w:rFonts w:ascii="Arial" w:eastAsia="Calibri" w:hAnsi="Arial" w:cs="Arial"/>
      <w:sz w:val="20"/>
      <w:szCs w:val="20"/>
    </w:rPr>
  </w:style>
  <w:style w:type="character" w:styleId="Odkaznakoment">
    <w:name w:val="annotation reference"/>
    <w:basedOn w:val="Standardnpsmoodstavce"/>
    <w:uiPriority w:val="99"/>
    <w:semiHidden/>
    <w:unhideWhenUsed/>
    <w:rsid w:val="00966ADB"/>
    <w:rPr>
      <w:sz w:val="16"/>
      <w:szCs w:val="16"/>
    </w:rPr>
  </w:style>
  <w:style w:type="paragraph" w:styleId="Textkomente">
    <w:name w:val="annotation text"/>
    <w:basedOn w:val="Normln"/>
    <w:link w:val="TextkomenteChar"/>
    <w:uiPriority w:val="99"/>
    <w:semiHidden/>
    <w:unhideWhenUsed/>
    <w:rsid w:val="00966ADB"/>
    <w:rPr>
      <w:rFonts w:ascii="Arial" w:hAnsi="Arial"/>
      <w:sz w:val="20"/>
      <w:szCs w:val="20"/>
    </w:rPr>
  </w:style>
  <w:style w:type="character" w:customStyle="1" w:styleId="TextkomenteChar">
    <w:name w:val="Text komentáře Char"/>
    <w:basedOn w:val="Standardnpsmoodstavce"/>
    <w:link w:val="Textkomente"/>
    <w:uiPriority w:val="99"/>
    <w:semiHidden/>
    <w:rsid w:val="00966ADB"/>
    <w:rPr>
      <w:rFonts w:ascii="Arial" w:eastAsia="Times New Roman" w:hAnsi="Arial" w:cs="Times New Roman"/>
      <w:sz w:val="20"/>
      <w:szCs w:val="20"/>
      <w:lang w:eastAsia="cs-CZ"/>
    </w:rPr>
  </w:style>
  <w:style w:type="paragraph" w:styleId="Pedmtkomente">
    <w:name w:val="annotation subject"/>
    <w:basedOn w:val="Textkomente"/>
    <w:next w:val="Textkomente"/>
    <w:link w:val="PedmtkomenteChar"/>
    <w:uiPriority w:val="99"/>
    <w:semiHidden/>
    <w:unhideWhenUsed/>
    <w:rsid w:val="00966ADB"/>
    <w:rPr>
      <w:b/>
      <w:bCs/>
    </w:rPr>
  </w:style>
  <w:style w:type="character" w:customStyle="1" w:styleId="PedmtkomenteChar">
    <w:name w:val="Předmět komentáře Char"/>
    <w:basedOn w:val="TextkomenteChar"/>
    <w:link w:val="Pedmtkomente"/>
    <w:uiPriority w:val="99"/>
    <w:semiHidden/>
    <w:rsid w:val="00966ADB"/>
    <w:rPr>
      <w:rFonts w:ascii="Arial" w:eastAsia="Times New Roman" w:hAnsi="Arial" w:cs="Times New Roman"/>
      <w:b/>
      <w:bCs/>
      <w:sz w:val="20"/>
      <w:szCs w:val="20"/>
      <w:lang w:eastAsia="cs-CZ"/>
    </w:rPr>
  </w:style>
  <w:style w:type="paragraph" w:styleId="Revize">
    <w:name w:val="Revision"/>
    <w:hidden/>
    <w:uiPriority w:val="99"/>
    <w:semiHidden/>
    <w:rsid w:val="00966ADB"/>
    <w:pPr>
      <w:spacing w:after="0" w:line="240" w:lineRule="auto"/>
    </w:pPr>
    <w:rPr>
      <w:rFonts w:ascii="Arial" w:eastAsia="Times New Roman" w:hAnsi="Arial" w:cs="Times New Roman"/>
      <w:sz w:val="20"/>
      <w:szCs w:val="20"/>
      <w:lang w:eastAsia="cs-CZ"/>
    </w:rPr>
  </w:style>
  <w:style w:type="paragraph" w:customStyle="1" w:styleId="Odstavecseseznamem2">
    <w:name w:val="Odstavec se seznamem2"/>
    <w:basedOn w:val="Normln"/>
    <w:rsid w:val="00966ADB"/>
    <w:pPr>
      <w:ind w:left="720"/>
      <w:contextualSpacing/>
    </w:pPr>
    <w:rPr>
      <w:lang w:val="en-US" w:eastAsia="en-US"/>
    </w:rPr>
  </w:style>
  <w:style w:type="character" w:styleId="Hypertextovodkaz">
    <w:name w:val="Hyperlink"/>
    <w:basedOn w:val="Standardnpsmoodstavce"/>
    <w:uiPriority w:val="99"/>
    <w:unhideWhenUsed/>
    <w:rsid w:val="00966ADB"/>
    <w:rPr>
      <w:strike w:val="0"/>
      <w:dstrike w:val="0"/>
      <w:color w:val="3366CC"/>
      <w:u w:val="none"/>
      <w:effect w: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0" w:unhideWhenUsed="0" w:qFormat="1"/>
    <w:lsdException w:name="Emphasis" w:semiHidden="0" w:uiPriority="20" w:unhideWhenUsed="0" w:qFormat="1"/>
    <w:lsdException w:name="Document Map" w:uiPriority="0"/>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D95CAA"/>
    <w:pPr>
      <w:spacing w:after="0" w:line="240" w:lineRule="auto"/>
    </w:pPr>
    <w:rPr>
      <w:rFonts w:ascii="Times New Roman" w:eastAsia="Times New Roman" w:hAnsi="Times New Roman" w:cs="Times New Roman"/>
      <w:sz w:val="24"/>
      <w:szCs w:val="24"/>
      <w:lang w:eastAsia="cs-CZ"/>
    </w:rPr>
  </w:style>
  <w:style w:type="paragraph" w:styleId="Nadpis1">
    <w:name w:val="heading 1"/>
    <w:basedOn w:val="Normln"/>
    <w:next w:val="Normln"/>
    <w:link w:val="Nadpis1Char"/>
    <w:uiPriority w:val="9"/>
    <w:qFormat/>
    <w:rsid w:val="00966ADB"/>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dpis2">
    <w:name w:val="heading 2"/>
    <w:basedOn w:val="Normln"/>
    <w:next w:val="Normln"/>
    <w:link w:val="Nadpis2Char"/>
    <w:qFormat/>
    <w:rsid w:val="00966ADB"/>
    <w:pPr>
      <w:keepNext/>
      <w:spacing w:before="240" w:after="60"/>
      <w:outlineLvl w:val="1"/>
    </w:pPr>
    <w:rPr>
      <w:rFonts w:ascii="Arial" w:hAnsi="Arial" w:cs="Arial"/>
      <w:b/>
      <w:bCs/>
      <w:i/>
      <w:iCs/>
      <w:sz w:val="28"/>
      <w:szCs w:val="2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Textbubliny">
    <w:name w:val="Balloon Text"/>
    <w:basedOn w:val="Normln"/>
    <w:link w:val="TextbublinyChar"/>
    <w:uiPriority w:val="99"/>
    <w:semiHidden/>
    <w:unhideWhenUsed/>
    <w:rsid w:val="009A5662"/>
    <w:rPr>
      <w:rFonts w:ascii="Tahoma" w:hAnsi="Tahoma" w:cs="Tahoma"/>
      <w:sz w:val="16"/>
      <w:szCs w:val="16"/>
    </w:rPr>
  </w:style>
  <w:style w:type="character" w:customStyle="1" w:styleId="TextbublinyChar">
    <w:name w:val="Text bubliny Char"/>
    <w:basedOn w:val="Standardnpsmoodstavce"/>
    <w:link w:val="Textbubliny"/>
    <w:uiPriority w:val="99"/>
    <w:semiHidden/>
    <w:rsid w:val="009A5662"/>
    <w:rPr>
      <w:rFonts w:ascii="Tahoma" w:eastAsia="Times New Roman" w:hAnsi="Tahoma" w:cs="Tahoma"/>
      <w:sz w:val="16"/>
      <w:szCs w:val="16"/>
      <w:lang w:eastAsia="cs-CZ"/>
    </w:rPr>
  </w:style>
  <w:style w:type="paragraph" w:styleId="Zhlav">
    <w:name w:val="header"/>
    <w:basedOn w:val="Normln"/>
    <w:link w:val="ZhlavChar"/>
    <w:uiPriority w:val="99"/>
    <w:unhideWhenUsed/>
    <w:rsid w:val="00242386"/>
    <w:pPr>
      <w:tabs>
        <w:tab w:val="center" w:pos="4536"/>
        <w:tab w:val="right" w:pos="9072"/>
      </w:tabs>
    </w:pPr>
  </w:style>
  <w:style w:type="character" w:customStyle="1" w:styleId="ZhlavChar">
    <w:name w:val="Záhlaví Char"/>
    <w:basedOn w:val="Standardnpsmoodstavce"/>
    <w:link w:val="Zhlav"/>
    <w:uiPriority w:val="99"/>
    <w:rsid w:val="00242386"/>
    <w:rPr>
      <w:rFonts w:ascii="Times New Roman" w:eastAsia="Times New Roman" w:hAnsi="Times New Roman" w:cs="Times New Roman"/>
      <w:sz w:val="24"/>
      <w:szCs w:val="24"/>
      <w:lang w:eastAsia="cs-CZ"/>
    </w:rPr>
  </w:style>
  <w:style w:type="paragraph" w:styleId="Zpat">
    <w:name w:val="footer"/>
    <w:basedOn w:val="Normln"/>
    <w:link w:val="ZpatChar"/>
    <w:uiPriority w:val="99"/>
    <w:unhideWhenUsed/>
    <w:rsid w:val="00242386"/>
    <w:pPr>
      <w:tabs>
        <w:tab w:val="center" w:pos="4536"/>
        <w:tab w:val="right" w:pos="9072"/>
      </w:tabs>
    </w:pPr>
  </w:style>
  <w:style w:type="character" w:customStyle="1" w:styleId="ZpatChar">
    <w:name w:val="Zápatí Char"/>
    <w:basedOn w:val="Standardnpsmoodstavce"/>
    <w:link w:val="Zpat"/>
    <w:uiPriority w:val="99"/>
    <w:rsid w:val="00242386"/>
    <w:rPr>
      <w:rFonts w:ascii="Times New Roman" w:eastAsia="Times New Roman" w:hAnsi="Times New Roman" w:cs="Times New Roman"/>
      <w:sz w:val="24"/>
      <w:szCs w:val="24"/>
      <w:lang w:eastAsia="cs-CZ"/>
    </w:rPr>
  </w:style>
  <w:style w:type="paragraph" w:styleId="Podtitul">
    <w:name w:val="Subtitle"/>
    <w:basedOn w:val="Normln"/>
    <w:next w:val="Normln"/>
    <w:link w:val="PodtitulChar"/>
    <w:uiPriority w:val="11"/>
    <w:qFormat/>
    <w:rsid w:val="00242386"/>
    <w:pPr>
      <w:spacing w:after="60"/>
      <w:jc w:val="center"/>
      <w:outlineLvl w:val="1"/>
    </w:pPr>
    <w:rPr>
      <w:rFonts w:ascii="Cambria" w:hAnsi="Cambria"/>
    </w:rPr>
  </w:style>
  <w:style w:type="character" w:customStyle="1" w:styleId="PodtitulChar">
    <w:name w:val="Podtitul Char"/>
    <w:basedOn w:val="Standardnpsmoodstavce"/>
    <w:link w:val="Podtitul"/>
    <w:uiPriority w:val="11"/>
    <w:rsid w:val="00242386"/>
    <w:rPr>
      <w:rFonts w:ascii="Cambria" w:eastAsia="Times New Roman" w:hAnsi="Cambria" w:cs="Times New Roman"/>
      <w:sz w:val="24"/>
      <w:szCs w:val="24"/>
      <w:lang w:eastAsia="cs-CZ"/>
    </w:rPr>
  </w:style>
  <w:style w:type="character" w:customStyle="1" w:styleId="Nadpis1Char">
    <w:name w:val="Nadpis 1 Char"/>
    <w:basedOn w:val="Standardnpsmoodstavce"/>
    <w:link w:val="Nadpis1"/>
    <w:uiPriority w:val="9"/>
    <w:rsid w:val="00966ADB"/>
    <w:rPr>
      <w:rFonts w:asciiTheme="majorHAnsi" w:eastAsiaTheme="majorEastAsia" w:hAnsiTheme="majorHAnsi" w:cstheme="majorBidi"/>
      <w:b/>
      <w:bCs/>
      <w:color w:val="365F91" w:themeColor="accent1" w:themeShade="BF"/>
      <w:sz w:val="28"/>
      <w:szCs w:val="28"/>
      <w:lang w:eastAsia="cs-CZ"/>
    </w:rPr>
  </w:style>
  <w:style w:type="character" w:customStyle="1" w:styleId="Nadpis2Char">
    <w:name w:val="Nadpis 2 Char"/>
    <w:basedOn w:val="Standardnpsmoodstavce"/>
    <w:link w:val="Nadpis2"/>
    <w:rsid w:val="00966ADB"/>
    <w:rPr>
      <w:rFonts w:ascii="Arial" w:eastAsia="Times New Roman" w:hAnsi="Arial" w:cs="Arial"/>
      <w:b/>
      <w:bCs/>
      <w:i/>
      <w:iCs/>
      <w:sz w:val="28"/>
      <w:szCs w:val="28"/>
      <w:lang w:eastAsia="cs-CZ"/>
    </w:rPr>
  </w:style>
  <w:style w:type="paragraph" w:styleId="Odstavecseseznamem">
    <w:name w:val="List Paragraph"/>
    <w:basedOn w:val="Normln"/>
    <w:uiPriority w:val="34"/>
    <w:qFormat/>
    <w:rsid w:val="00966ADB"/>
    <w:pPr>
      <w:ind w:left="720"/>
      <w:contextualSpacing/>
    </w:pPr>
    <w:rPr>
      <w:lang w:eastAsia="en-US"/>
    </w:rPr>
  </w:style>
  <w:style w:type="paragraph" w:styleId="Normlnweb">
    <w:name w:val="Normal (Web)"/>
    <w:basedOn w:val="Normln"/>
    <w:rsid w:val="00966ADB"/>
    <w:rPr>
      <w:lang w:eastAsia="en-US"/>
    </w:rPr>
  </w:style>
  <w:style w:type="character" w:styleId="Siln">
    <w:name w:val="Strong"/>
    <w:qFormat/>
    <w:rsid w:val="00966ADB"/>
    <w:rPr>
      <w:rFonts w:cs="Times New Roman"/>
      <w:b/>
      <w:bCs/>
    </w:rPr>
  </w:style>
  <w:style w:type="paragraph" w:styleId="Rozloendokumentu">
    <w:name w:val="Document Map"/>
    <w:basedOn w:val="Normln"/>
    <w:link w:val="RozloendokumentuChar"/>
    <w:semiHidden/>
    <w:rsid w:val="00966ADB"/>
    <w:pPr>
      <w:shd w:val="clear" w:color="auto" w:fill="000080"/>
    </w:pPr>
    <w:rPr>
      <w:rFonts w:ascii="Tahoma" w:hAnsi="Tahoma" w:cs="Tahoma"/>
      <w:sz w:val="20"/>
      <w:szCs w:val="20"/>
    </w:rPr>
  </w:style>
  <w:style w:type="character" w:customStyle="1" w:styleId="RozloendokumentuChar">
    <w:name w:val="Rozložení dokumentu Char"/>
    <w:basedOn w:val="Standardnpsmoodstavce"/>
    <w:link w:val="Rozloendokumentu"/>
    <w:semiHidden/>
    <w:rsid w:val="00966ADB"/>
    <w:rPr>
      <w:rFonts w:ascii="Tahoma" w:eastAsia="Times New Roman" w:hAnsi="Tahoma" w:cs="Tahoma"/>
      <w:sz w:val="20"/>
      <w:szCs w:val="20"/>
      <w:shd w:val="clear" w:color="auto" w:fill="000080"/>
      <w:lang w:eastAsia="cs-CZ"/>
    </w:rPr>
  </w:style>
  <w:style w:type="paragraph" w:customStyle="1" w:styleId="Odstavecseseznamem1">
    <w:name w:val="Odstavec se seznamem1"/>
    <w:basedOn w:val="Normln"/>
    <w:rsid w:val="00966ADB"/>
    <w:pPr>
      <w:ind w:left="720"/>
      <w:contextualSpacing/>
    </w:pPr>
    <w:rPr>
      <w:lang w:val="en-US" w:eastAsia="en-US"/>
    </w:rPr>
  </w:style>
  <w:style w:type="paragraph" w:styleId="Zkladntextodsazen3">
    <w:name w:val="Body Text Indent 3"/>
    <w:basedOn w:val="Normln"/>
    <w:link w:val="Zkladntextodsazen3Char"/>
    <w:rsid w:val="00966ADB"/>
    <w:pPr>
      <w:spacing w:after="120"/>
      <w:ind w:left="283"/>
    </w:pPr>
    <w:rPr>
      <w:sz w:val="16"/>
      <w:szCs w:val="16"/>
    </w:rPr>
  </w:style>
  <w:style w:type="character" w:customStyle="1" w:styleId="Zkladntextodsazen3Char">
    <w:name w:val="Základní text odsazený 3 Char"/>
    <w:basedOn w:val="Standardnpsmoodstavce"/>
    <w:link w:val="Zkladntextodsazen3"/>
    <w:rsid w:val="00966ADB"/>
    <w:rPr>
      <w:rFonts w:ascii="Times New Roman" w:eastAsia="Times New Roman" w:hAnsi="Times New Roman" w:cs="Times New Roman"/>
      <w:sz w:val="16"/>
      <w:szCs w:val="16"/>
      <w:lang w:eastAsia="cs-CZ"/>
    </w:rPr>
  </w:style>
  <w:style w:type="paragraph" w:customStyle="1" w:styleId="Styl1mmmmm">
    <w:name w:val="Styl1mmmmm"/>
    <w:basedOn w:val="Normln"/>
    <w:rsid w:val="00966ADB"/>
    <w:pPr>
      <w:numPr>
        <w:numId w:val="8"/>
      </w:numPr>
    </w:pPr>
  </w:style>
  <w:style w:type="paragraph" w:customStyle="1" w:styleId="Popisky">
    <w:name w:val="Popisky"/>
    <w:basedOn w:val="Normln"/>
    <w:rsid w:val="00966ADB"/>
    <w:rPr>
      <w:rFonts w:ascii="Arial" w:eastAsia="Calibri" w:hAnsi="Arial" w:cs="Arial"/>
      <w:sz w:val="20"/>
      <w:szCs w:val="20"/>
    </w:rPr>
  </w:style>
  <w:style w:type="character" w:styleId="Odkaznakoment">
    <w:name w:val="annotation reference"/>
    <w:basedOn w:val="Standardnpsmoodstavce"/>
    <w:uiPriority w:val="99"/>
    <w:semiHidden/>
    <w:unhideWhenUsed/>
    <w:rsid w:val="00966ADB"/>
    <w:rPr>
      <w:sz w:val="16"/>
      <w:szCs w:val="16"/>
    </w:rPr>
  </w:style>
  <w:style w:type="paragraph" w:styleId="Textkomente">
    <w:name w:val="annotation text"/>
    <w:basedOn w:val="Normln"/>
    <w:link w:val="TextkomenteChar"/>
    <w:uiPriority w:val="99"/>
    <w:semiHidden/>
    <w:unhideWhenUsed/>
    <w:rsid w:val="00966ADB"/>
    <w:rPr>
      <w:rFonts w:ascii="Arial" w:hAnsi="Arial"/>
      <w:sz w:val="20"/>
      <w:szCs w:val="20"/>
    </w:rPr>
  </w:style>
  <w:style w:type="character" w:customStyle="1" w:styleId="TextkomenteChar">
    <w:name w:val="Text komentáře Char"/>
    <w:basedOn w:val="Standardnpsmoodstavce"/>
    <w:link w:val="Textkomente"/>
    <w:uiPriority w:val="99"/>
    <w:semiHidden/>
    <w:rsid w:val="00966ADB"/>
    <w:rPr>
      <w:rFonts w:ascii="Arial" w:eastAsia="Times New Roman" w:hAnsi="Arial" w:cs="Times New Roman"/>
      <w:sz w:val="20"/>
      <w:szCs w:val="20"/>
      <w:lang w:eastAsia="cs-CZ"/>
    </w:rPr>
  </w:style>
  <w:style w:type="paragraph" w:styleId="Pedmtkomente">
    <w:name w:val="annotation subject"/>
    <w:basedOn w:val="Textkomente"/>
    <w:next w:val="Textkomente"/>
    <w:link w:val="PedmtkomenteChar"/>
    <w:uiPriority w:val="99"/>
    <w:semiHidden/>
    <w:unhideWhenUsed/>
    <w:rsid w:val="00966ADB"/>
    <w:rPr>
      <w:b/>
      <w:bCs/>
    </w:rPr>
  </w:style>
  <w:style w:type="character" w:customStyle="1" w:styleId="PedmtkomenteChar">
    <w:name w:val="Předmět komentáře Char"/>
    <w:basedOn w:val="TextkomenteChar"/>
    <w:link w:val="Pedmtkomente"/>
    <w:uiPriority w:val="99"/>
    <w:semiHidden/>
    <w:rsid w:val="00966ADB"/>
    <w:rPr>
      <w:rFonts w:ascii="Arial" w:eastAsia="Times New Roman" w:hAnsi="Arial" w:cs="Times New Roman"/>
      <w:b/>
      <w:bCs/>
      <w:sz w:val="20"/>
      <w:szCs w:val="20"/>
      <w:lang w:eastAsia="cs-CZ"/>
    </w:rPr>
  </w:style>
  <w:style w:type="paragraph" w:styleId="Revize">
    <w:name w:val="Revision"/>
    <w:hidden/>
    <w:uiPriority w:val="99"/>
    <w:semiHidden/>
    <w:rsid w:val="00966ADB"/>
    <w:pPr>
      <w:spacing w:after="0" w:line="240" w:lineRule="auto"/>
    </w:pPr>
    <w:rPr>
      <w:rFonts w:ascii="Arial" w:eastAsia="Times New Roman" w:hAnsi="Arial" w:cs="Times New Roman"/>
      <w:sz w:val="20"/>
      <w:szCs w:val="20"/>
      <w:lang w:eastAsia="cs-CZ"/>
    </w:rPr>
  </w:style>
  <w:style w:type="paragraph" w:customStyle="1" w:styleId="Odstavecseseznamem2">
    <w:name w:val="Odstavec se seznamem2"/>
    <w:basedOn w:val="Normln"/>
    <w:rsid w:val="00966ADB"/>
    <w:pPr>
      <w:ind w:left="720"/>
      <w:contextualSpacing/>
    </w:pPr>
    <w:rPr>
      <w:lang w:val="en-US" w:eastAsia="en-US"/>
    </w:rPr>
  </w:style>
  <w:style w:type="character" w:styleId="Hypertextovodkaz">
    <w:name w:val="Hyperlink"/>
    <w:basedOn w:val="Standardnpsmoodstavce"/>
    <w:uiPriority w:val="99"/>
    <w:unhideWhenUsed/>
    <w:rsid w:val="00966ADB"/>
    <w:rPr>
      <w:strike w:val="0"/>
      <w:dstrike w:val="0"/>
      <w:color w:val="3366CC"/>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50352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16</Pages>
  <Words>7652</Words>
  <Characters>45151</Characters>
  <Application>Microsoft Office Word</Application>
  <DocSecurity>4</DocSecurity>
  <Lines>376</Lines>
  <Paragraphs>105</Paragraphs>
  <ScaleCrop>false</ScaleCrop>
  <HeadingPairs>
    <vt:vector size="2" baseType="variant">
      <vt:variant>
        <vt:lpstr>Název</vt:lpstr>
      </vt:variant>
      <vt:variant>
        <vt:i4>1</vt:i4>
      </vt:variant>
    </vt:vector>
  </HeadingPairs>
  <TitlesOfParts>
    <vt:vector size="1" baseType="lpstr">
      <vt:lpstr/>
    </vt:vector>
  </TitlesOfParts>
  <Company>Úřad vlády ČR</Company>
  <LinksUpToDate>false</LinksUpToDate>
  <CharactersWithSpaces>52698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Radka Bezděkovská</dc:creator>
  <cp:lastModifiedBy>Steinová Gabriela</cp:lastModifiedBy>
  <cp:revision>2</cp:revision>
  <cp:lastPrinted>2015-09-21T13:07:00Z</cp:lastPrinted>
  <dcterms:created xsi:type="dcterms:W3CDTF">2018-11-26T13:07:00Z</dcterms:created>
  <dcterms:modified xsi:type="dcterms:W3CDTF">2018-11-26T13:07:00Z</dcterms:modified>
</cp:coreProperties>
</file>